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8CC" w:rsidRDefault="006948CC">
      <w:bookmarkStart w:id="0" w:name="_GoBack"/>
      <w:bookmarkEnd w:id="0"/>
    </w:p>
    <w:p w:rsidR="006948CC" w:rsidRDefault="006948CC"/>
    <w:p w:rsidR="009F1A47" w:rsidRPr="006948CC" w:rsidRDefault="006948CC">
      <w:pPr>
        <w:rPr>
          <w:b/>
          <w:sz w:val="32"/>
          <w:szCs w:val="32"/>
        </w:rPr>
      </w:pPr>
      <w:r w:rsidRPr="006948CC">
        <w:rPr>
          <w:sz w:val="32"/>
          <w:szCs w:val="32"/>
        </w:rPr>
        <w:t xml:space="preserve">     </w:t>
      </w:r>
      <w:r>
        <w:rPr>
          <w:sz w:val="32"/>
          <w:szCs w:val="32"/>
        </w:rPr>
        <w:t xml:space="preserve">                     </w:t>
      </w:r>
      <w:r w:rsidR="00B91E45" w:rsidRPr="006948CC">
        <w:rPr>
          <w:b/>
          <w:sz w:val="32"/>
          <w:szCs w:val="32"/>
        </w:rPr>
        <w:t xml:space="preserve">A </w:t>
      </w:r>
      <w:r w:rsidRPr="006948CC">
        <w:rPr>
          <w:b/>
          <w:sz w:val="32"/>
          <w:szCs w:val="32"/>
        </w:rPr>
        <w:t>Novel</w:t>
      </w:r>
      <w:r w:rsidR="00315AD4" w:rsidRPr="006948CC">
        <w:rPr>
          <w:b/>
          <w:sz w:val="32"/>
          <w:szCs w:val="32"/>
        </w:rPr>
        <w:t xml:space="preserve"> </w:t>
      </w:r>
      <w:r w:rsidR="001359AA" w:rsidRPr="006948CC">
        <w:rPr>
          <w:b/>
          <w:sz w:val="32"/>
          <w:szCs w:val="32"/>
        </w:rPr>
        <w:t xml:space="preserve">Perspective on Cuba’s </w:t>
      </w:r>
      <w:r w:rsidR="00941983">
        <w:rPr>
          <w:b/>
          <w:sz w:val="32"/>
          <w:szCs w:val="32"/>
        </w:rPr>
        <w:t>‘</w:t>
      </w:r>
      <w:r w:rsidR="001359AA" w:rsidRPr="006948CC">
        <w:rPr>
          <w:b/>
          <w:sz w:val="32"/>
          <w:szCs w:val="32"/>
        </w:rPr>
        <w:t>Reforms</w:t>
      </w:r>
      <w:r w:rsidR="00941983">
        <w:rPr>
          <w:b/>
          <w:sz w:val="32"/>
          <w:szCs w:val="32"/>
        </w:rPr>
        <w:t>’</w:t>
      </w:r>
    </w:p>
    <w:p w:rsidR="006948CC" w:rsidRDefault="006948CC"/>
    <w:p w:rsidR="006948CC" w:rsidRDefault="006948CC"/>
    <w:p w:rsidR="006948CC" w:rsidRPr="006948CC" w:rsidRDefault="006948CC" w:rsidP="006948CC">
      <w:pPr>
        <w:spacing w:line="240" w:lineRule="auto"/>
        <w:rPr>
          <w:b/>
          <w:sz w:val="28"/>
          <w:szCs w:val="28"/>
        </w:rPr>
      </w:pPr>
      <w:r>
        <w:t xml:space="preserve">                                                                </w:t>
      </w:r>
      <w:r>
        <w:rPr>
          <w:b/>
          <w:sz w:val="28"/>
          <w:szCs w:val="28"/>
        </w:rPr>
        <w:t>Roger R. Betancourt</w:t>
      </w:r>
      <w:r w:rsidR="006E00BE">
        <w:rPr>
          <w:b/>
          <w:sz w:val="28"/>
          <w:szCs w:val="28"/>
        </w:rPr>
        <w:t>*</w:t>
      </w:r>
      <w:r>
        <w:t xml:space="preserve">                                                                                                                                                         </w:t>
      </w:r>
    </w:p>
    <w:p w:rsidR="00B91E45" w:rsidRDefault="006948CC" w:rsidP="006948CC">
      <w:pPr>
        <w:spacing w:line="240" w:lineRule="auto"/>
        <w:rPr>
          <w:b/>
          <w:sz w:val="28"/>
          <w:szCs w:val="28"/>
        </w:rPr>
      </w:pPr>
      <w:r>
        <w:t xml:space="preserve">                                                                </w:t>
      </w:r>
      <w:r w:rsidRPr="006948CC">
        <w:rPr>
          <w:b/>
          <w:sz w:val="28"/>
          <w:szCs w:val="28"/>
        </w:rPr>
        <w:t>Professor of Economics</w:t>
      </w:r>
    </w:p>
    <w:p w:rsidR="006948CC" w:rsidRDefault="006948CC" w:rsidP="006948CC">
      <w:pPr>
        <w:spacing w:line="240" w:lineRule="auto"/>
        <w:rPr>
          <w:b/>
          <w:sz w:val="28"/>
          <w:szCs w:val="28"/>
        </w:rPr>
      </w:pPr>
      <w:r>
        <w:rPr>
          <w:b/>
          <w:sz w:val="28"/>
          <w:szCs w:val="28"/>
        </w:rPr>
        <w:t xml:space="preserve">                                                  College Park, MD 20742</w:t>
      </w:r>
    </w:p>
    <w:p w:rsidR="006948CC" w:rsidRDefault="006948CC" w:rsidP="006948CC">
      <w:pPr>
        <w:spacing w:line="240" w:lineRule="auto"/>
        <w:rPr>
          <w:b/>
          <w:sz w:val="28"/>
          <w:szCs w:val="28"/>
        </w:rPr>
      </w:pPr>
    </w:p>
    <w:p w:rsidR="006948CC" w:rsidRDefault="006948CC" w:rsidP="006948CC">
      <w:pPr>
        <w:spacing w:line="240" w:lineRule="auto"/>
        <w:rPr>
          <w:b/>
          <w:sz w:val="28"/>
          <w:szCs w:val="28"/>
        </w:rPr>
      </w:pPr>
    </w:p>
    <w:p w:rsidR="006948CC" w:rsidRDefault="006948CC" w:rsidP="006948CC">
      <w:pPr>
        <w:spacing w:line="240" w:lineRule="auto"/>
        <w:rPr>
          <w:b/>
          <w:sz w:val="28"/>
          <w:szCs w:val="28"/>
        </w:rPr>
      </w:pPr>
    </w:p>
    <w:p w:rsidR="006948CC" w:rsidRDefault="006948CC" w:rsidP="006948CC">
      <w:pPr>
        <w:spacing w:line="240" w:lineRule="auto"/>
        <w:rPr>
          <w:b/>
          <w:sz w:val="28"/>
          <w:szCs w:val="28"/>
        </w:rPr>
      </w:pPr>
    </w:p>
    <w:p w:rsidR="006948CC" w:rsidRDefault="006948CC" w:rsidP="006948CC">
      <w:pPr>
        <w:spacing w:line="240" w:lineRule="auto"/>
        <w:rPr>
          <w:b/>
          <w:sz w:val="28"/>
          <w:szCs w:val="28"/>
        </w:rPr>
      </w:pPr>
      <w:r>
        <w:rPr>
          <w:b/>
          <w:sz w:val="28"/>
          <w:szCs w:val="28"/>
        </w:rPr>
        <w:t xml:space="preserve">                                                   Version 2.0</w:t>
      </w:r>
    </w:p>
    <w:p w:rsidR="006948CC" w:rsidRDefault="006948CC" w:rsidP="006948CC">
      <w:pPr>
        <w:spacing w:line="240" w:lineRule="auto"/>
        <w:rPr>
          <w:b/>
          <w:sz w:val="28"/>
          <w:szCs w:val="28"/>
        </w:rPr>
      </w:pPr>
      <w:r>
        <w:rPr>
          <w:b/>
          <w:sz w:val="28"/>
          <w:szCs w:val="28"/>
        </w:rPr>
        <w:t xml:space="preserve">                                                   September 2014</w:t>
      </w:r>
    </w:p>
    <w:p w:rsidR="006948CC" w:rsidRDefault="006948CC" w:rsidP="006948CC">
      <w:pPr>
        <w:spacing w:line="240" w:lineRule="auto"/>
        <w:rPr>
          <w:b/>
          <w:sz w:val="28"/>
          <w:szCs w:val="28"/>
        </w:rPr>
      </w:pPr>
    </w:p>
    <w:p w:rsidR="006948CC" w:rsidRDefault="006948CC" w:rsidP="006948CC">
      <w:pPr>
        <w:spacing w:line="240" w:lineRule="auto"/>
        <w:rPr>
          <w:b/>
          <w:sz w:val="28"/>
          <w:szCs w:val="28"/>
        </w:rPr>
      </w:pPr>
    </w:p>
    <w:p w:rsidR="006948CC" w:rsidRDefault="006948CC" w:rsidP="006948CC">
      <w:pPr>
        <w:spacing w:line="240" w:lineRule="auto"/>
        <w:rPr>
          <w:b/>
          <w:sz w:val="28"/>
          <w:szCs w:val="28"/>
        </w:rPr>
      </w:pPr>
    </w:p>
    <w:p w:rsidR="006948CC" w:rsidRDefault="006948CC" w:rsidP="006948CC">
      <w:pPr>
        <w:spacing w:line="240" w:lineRule="auto"/>
        <w:rPr>
          <w:b/>
          <w:sz w:val="28"/>
          <w:szCs w:val="28"/>
        </w:rPr>
      </w:pPr>
    </w:p>
    <w:p w:rsidR="006948CC" w:rsidRPr="006948CC" w:rsidRDefault="006948CC" w:rsidP="006948CC">
      <w:pPr>
        <w:spacing w:line="240" w:lineRule="auto"/>
        <w:rPr>
          <w:b/>
          <w:sz w:val="28"/>
          <w:szCs w:val="28"/>
        </w:rPr>
      </w:pPr>
    </w:p>
    <w:p w:rsidR="008948BB" w:rsidRDefault="008948BB">
      <w:pPr>
        <w:rPr>
          <w:b/>
        </w:rPr>
      </w:pPr>
    </w:p>
    <w:p w:rsidR="008948BB" w:rsidRDefault="008948BB">
      <w:pPr>
        <w:rPr>
          <w:b/>
        </w:rPr>
      </w:pPr>
    </w:p>
    <w:p w:rsidR="008948BB" w:rsidRDefault="008948BB">
      <w:pPr>
        <w:rPr>
          <w:b/>
        </w:rPr>
      </w:pPr>
    </w:p>
    <w:p w:rsidR="008948BB" w:rsidRPr="006948CC" w:rsidRDefault="006948CC">
      <w:r>
        <w:rPr>
          <w:b/>
        </w:rPr>
        <w:t xml:space="preserve">* </w:t>
      </w:r>
      <w:r>
        <w:t xml:space="preserve">The </w:t>
      </w:r>
      <w:r w:rsidR="006E00BE">
        <w:t xml:space="preserve">main </w:t>
      </w:r>
      <w:r>
        <w:t>ideas in this paper were initially presented at the XXIV Meetings of ASCE</w:t>
      </w:r>
      <w:r w:rsidR="006E00BE">
        <w:t xml:space="preserve"> and I benefitted from observations by R. Castañeda and J. </w:t>
      </w:r>
      <w:r w:rsidR="00C25234">
        <w:t>S</w:t>
      </w:r>
      <w:r w:rsidR="006E00BE">
        <w:t xml:space="preserve">anguinetty on the presentation.  Subsequently, </w:t>
      </w:r>
      <w:r w:rsidR="00C25234">
        <w:t>Jorge Pérez-López made extensive editorial comments on the first written version</w:t>
      </w:r>
      <w:r w:rsidR="00BA4247">
        <w:t>.</w:t>
      </w:r>
      <w:r w:rsidR="00C25234" w:rsidRPr="00C25234">
        <w:t xml:space="preserve"> </w:t>
      </w:r>
      <w:r w:rsidR="00941983">
        <w:t xml:space="preserve"> J</w:t>
      </w:r>
      <w:r w:rsidR="00C25234">
        <w:t xml:space="preserve">.L. Betancourt, R. Morán, and C. Quijano provided very useful comments on the first written </w:t>
      </w:r>
      <w:r w:rsidR="00941983">
        <w:t>version.  This second one incorporates those comments as well as additional modifications of my own.  Re</w:t>
      </w:r>
      <w:r w:rsidR="006E00BE">
        <w:t>maining errors and omissions are my responsibility.</w:t>
      </w:r>
      <w:r>
        <w:t xml:space="preserve"> </w:t>
      </w:r>
    </w:p>
    <w:p w:rsidR="008948BB" w:rsidRDefault="008948BB">
      <w:pPr>
        <w:rPr>
          <w:b/>
        </w:rPr>
      </w:pPr>
    </w:p>
    <w:p w:rsidR="006E00BE" w:rsidRDefault="00304A4C">
      <w:pPr>
        <w:rPr>
          <w:b/>
          <w:sz w:val="28"/>
          <w:szCs w:val="28"/>
        </w:rPr>
      </w:pPr>
      <w:r>
        <w:rPr>
          <w:b/>
          <w:sz w:val="28"/>
          <w:szCs w:val="28"/>
        </w:rPr>
        <w:lastRenderedPageBreak/>
        <w:t>A Novel Perspective on Cuba’s ‘Reforms’</w:t>
      </w:r>
    </w:p>
    <w:p w:rsidR="00304A4C" w:rsidRDefault="00304A4C">
      <w:pPr>
        <w:rPr>
          <w:b/>
          <w:sz w:val="28"/>
          <w:szCs w:val="28"/>
        </w:rPr>
      </w:pPr>
      <w:r>
        <w:rPr>
          <w:b/>
          <w:sz w:val="28"/>
          <w:szCs w:val="28"/>
        </w:rPr>
        <w:t>Abstract:</w:t>
      </w:r>
    </w:p>
    <w:p w:rsidR="00304A4C" w:rsidRDefault="00304A4C">
      <w:r w:rsidRPr="00304A4C">
        <w:t xml:space="preserve">In this paper </w:t>
      </w:r>
      <w:r>
        <w:t xml:space="preserve">we provide a perspective for evaluating the changes taking place in Cuba </w:t>
      </w:r>
      <w:r w:rsidR="008C3F7C">
        <w:t>associated with reforms under Raul Castro’s regime. This perspective is provided by</w:t>
      </w:r>
      <w:r>
        <w:t xml:space="preserve"> drawing from basic concepts in the literature on political economy, the New Institutional Economics (NIE) and complexity theory</w:t>
      </w:r>
      <w:r w:rsidR="008C3F7C">
        <w:t>.</w:t>
      </w:r>
      <w:r>
        <w:t xml:space="preserve">  From the first</w:t>
      </w:r>
      <w:r w:rsidR="00664875">
        <w:t xml:space="preserve"> strand of</w:t>
      </w:r>
      <w:r>
        <w:t xml:space="preserve"> literature we take the concept that those who control the state have interests of their own; From the second </w:t>
      </w:r>
      <w:r w:rsidR="00664875">
        <w:t xml:space="preserve">strand of </w:t>
      </w:r>
      <w:r>
        <w:t>literature we take the concept of relational contracts and adapt</w:t>
      </w:r>
      <w:r w:rsidR="00664875">
        <w:t xml:space="preserve"> it </w:t>
      </w:r>
      <w:r>
        <w:t xml:space="preserve">to a broader area of applications, and from the last </w:t>
      </w:r>
      <w:r w:rsidR="00664875">
        <w:t>strand</w:t>
      </w:r>
      <w:r>
        <w:t xml:space="preserve"> we take the concept of relational constraints and use it to </w:t>
      </w:r>
      <w:r w:rsidR="00676204">
        <w:t xml:space="preserve">suggest </w:t>
      </w:r>
      <w:r w:rsidR="00664875">
        <w:t xml:space="preserve">consequences of market liberalizing reforms for </w:t>
      </w:r>
      <w:r w:rsidR="00676204">
        <w:t>economic</w:t>
      </w:r>
      <w:r w:rsidR="00664875">
        <w:t xml:space="preserve"> growth.  </w:t>
      </w:r>
      <w:r w:rsidR="008C3F7C">
        <w:t>These ideas are used together with standard economic concepts in Cuba’s specific context.  W</w:t>
      </w:r>
      <w:r w:rsidR="00664875">
        <w:t xml:space="preserve">e make extensive use of Mesa-Lago and Pérez-López </w:t>
      </w:r>
      <w:r w:rsidR="00676204">
        <w:t xml:space="preserve">description </w:t>
      </w:r>
      <w:r w:rsidR="00664875">
        <w:t xml:space="preserve">of Cuba’s reforms </w:t>
      </w:r>
      <w:r w:rsidR="00F33F50">
        <w:t>while</w:t>
      </w:r>
      <w:r w:rsidR="00664875">
        <w:t xml:space="preserve"> highlighting </w:t>
      </w:r>
      <w:r w:rsidR="00676204">
        <w:t xml:space="preserve">in our evaluation </w:t>
      </w:r>
      <w:r w:rsidR="00664875">
        <w:t xml:space="preserve">the ones they label structural reforms. Our </w:t>
      </w:r>
      <w:r w:rsidR="00676204">
        <w:t>perspective allows us to evaluate macro reforms, reforms associated with updating of the socialist economic model as well a</w:t>
      </w:r>
      <w:r w:rsidR="008C3F7C">
        <w:t>s</w:t>
      </w:r>
      <w:r w:rsidR="00676204">
        <w:t xml:space="preserve"> those associated </w:t>
      </w:r>
      <w:r w:rsidR="008C3F7C">
        <w:t xml:space="preserve">directly </w:t>
      </w:r>
      <w:r w:rsidR="00676204">
        <w:t>with marke</w:t>
      </w:r>
      <w:r w:rsidR="008C3F7C">
        <w:t>t</w:t>
      </w:r>
      <w:r w:rsidR="00676204">
        <w:t xml:space="preserve"> liberalizations.</w:t>
      </w:r>
      <w:r w:rsidR="008C3F7C">
        <w:t xml:space="preserve">  This perspective c</w:t>
      </w:r>
      <w:r w:rsidR="00664875">
        <w:t xml:space="preserve">an be extended to evaluate </w:t>
      </w:r>
      <w:r w:rsidR="000A4089">
        <w:t xml:space="preserve">any type of transition, not just those from socialism to </w:t>
      </w:r>
      <w:r w:rsidR="0011071C">
        <w:t>a market economy</w:t>
      </w:r>
      <w:r w:rsidR="008C3F7C">
        <w:t xml:space="preserve">.  In general, it can be applied </w:t>
      </w:r>
      <w:r w:rsidR="0011071C">
        <w:t xml:space="preserve">to any set of extensive changes in relations within </w:t>
      </w:r>
      <w:r w:rsidR="007520EE">
        <w:t>an</w:t>
      </w:r>
      <w:r w:rsidR="0011071C">
        <w:t xml:space="preserve"> economic system accompanied by </w:t>
      </w:r>
      <w:r w:rsidR="007520EE">
        <w:t xml:space="preserve">similar </w:t>
      </w:r>
      <w:r w:rsidR="008C3F7C">
        <w:t>changes</w:t>
      </w:r>
      <w:r w:rsidR="00C608D5">
        <w:t>,</w:t>
      </w:r>
      <w:r w:rsidR="008C3F7C">
        <w:t xml:space="preserve"> </w:t>
      </w:r>
      <w:r w:rsidR="007520EE">
        <w:t>or lack of</w:t>
      </w:r>
      <w:r w:rsidR="00C608D5">
        <w:t>,</w:t>
      </w:r>
      <w:r w:rsidR="007520EE">
        <w:t xml:space="preserve"> </w:t>
      </w:r>
      <w:r w:rsidR="008C3F7C">
        <w:t>in governance arrangements.</w:t>
      </w:r>
    </w:p>
    <w:p w:rsidR="002A7E9D" w:rsidRDefault="002A7E9D"/>
    <w:p w:rsidR="002A7E9D" w:rsidRDefault="002A7E9D">
      <w:pPr>
        <w:rPr>
          <w:b/>
          <w:sz w:val="28"/>
          <w:szCs w:val="28"/>
        </w:rPr>
      </w:pPr>
      <w:r w:rsidRPr="002A7E9D">
        <w:rPr>
          <w:b/>
          <w:sz w:val="28"/>
          <w:szCs w:val="28"/>
        </w:rPr>
        <w:t>Key Words</w:t>
      </w:r>
      <w:r>
        <w:rPr>
          <w:b/>
          <w:sz w:val="28"/>
          <w:szCs w:val="28"/>
        </w:rPr>
        <w:t xml:space="preserve">: </w:t>
      </w:r>
      <w:r w:rsidRPr="0011071C">
        <w:t>political economy</w:t>
      </w:r>
      <w:r w:rsidR="0011071C">
        <w:t>, reforms, relational contracts, updating the model, socialist transitions, relational constraints, market liberalizations.</w:t>
      </w:r>
      <w:r>
        <w:rPr>
          <w:b/>
          <w:sz w:val="28"/>
          <w:szCs w:val="28"/>
        </w:rPr>
        <w:t xml:space="preserve"> </w:t>
      </w:r>
    </w:p>
    <w:p w:rsidR="00572757" w:rsidRPr="00572757" w:rsidRDefault="00572757">
      <w:r>
        <w:rPr>
          <w:b/>
          <w:sz w:val="28"/>
          <w:szCs w:val="28"/>
        </w:rPr>
        <w:t xml:space="preserve">JEL CODE: </w:t>
      </w:r>
      <w:r w:rsidR="00F33F50">
        <w:rPr>
          <w:b/>
          <w:sz w:val="28"/>
          <w:szCs w:val="28"/>
        </w:rPr>
        <w:t>L2;</w:t>
      </w:r>
      <w:r w:rsidR="009D2527">
        <w:rPr>
          <w:b/>
          <w:sz w:val="28"/>
          <w:szCs w:val="28"/>
        </w:rPr>
        <w:t xml:space="preserve"> </w:t>
      </w:r>
      <w:r w:rsidR="00F33F50">
        <w:rPr>
          <w:b/>
          <w:sz w:val="28"/>
          <w:szCs w:val="28"/>
        </w:rPr>
        <w:t>P1;</w:t>
      </w:r>
      <w:r w:rsidR="009D2527">
        <w:rPr>
          <w:b/>
          <w:sz w:val="28"/>
          <w:szCs w:val="28"/>
        </w:rPr>
        <w:t xml:space="preserve"> </w:t>
      </w:r>
      <w:r w:rsidR="00F33F50">
        <w:rPr>
          <w:b/>
          <w:sz w:val="28"/>
          <w:szCs w:val="28"/>
        </w:rPr>
        <w:t>P2;</w:t>
      </w:r>
      <w:r w:rsidR="009D2527">
        <w:rPr>
          <w:b/>
          <w:sz w:val="28"/>
          <w:szCs w:val="28"/>
        </w:rPr>
        <w:t xml:space="preserve"> P26; </w:t>
      </w:r>
      <w:r w:rsidR="00F33F50">
        <w:rPr>
          <w:b/>
          <w:sz w:val="28"/>
          <w:szCs w:val="28"/>
        </w:rPr>
        <w:t>P3</w:t>
      </w:r>
      <w:r w:rsidR="009D2527">
        <w:rPr>
          <w:b/>
          <w:sz w:val="28"/>
          <w:szCs w:val="28"/>
        </w:rPr>
        <w:t>; N16</w:t>
      </w:r>
    </w:p>
    <w:p w:rsidR="00572757" w:rsidRPr="002A7E9D" w:rsidRDefault="00572757">
      <w:pPr>
        <w:rPr>
          <w:b/>
        </w:rPr>
      </w:pPr>
    </w:p>
    <w:p w:rsidR="00C25234" w:rsidRDefault="00C25234">
      <w:pPr>
        <w:rPr>
          <w:b/>
        </w:rPr>
      </w:pPr>
    </w:p>
    <w:p w:rsidR="00C25234" w:rsidRDefault="00C25234">
      <w:pPr>
        <w:rPr>
          <w:b/>
        </w:rPr>
      </w:pPr>
    </w:p>
    <w:p w:rsidR="00C25234" w:rsidRDefault="00C25234">
      <w:pPr>
        <w:rPr>
          <w:b/>
        </w:rPr>
      </w:pPr>
    </w:p>
    <w:p w:rsidR="00C25234" w:rsidRDefault="00C25234">
      <w:pPr>
        <w:rPr>
          <w:b/>
        </w:rPr>
      </w:pPr>
    </w:p>
    <w:p w:rsidR="00C25234" w:rsidRDefault="00C25234">
      <w:pPr>
        <w:rPr>
          <w:b/>
        </w:rPr>
      </w:pPr>
    </w:p>
    <w:p w:rsidR="00C25234" w:rsidRDefault="00C25234">
      <w:pPr>
        <w:rPr>
          <w:b/>
        </w:rPr>
      </w:pPr>
    </w:p>
    <w:p w:rsidR="00C25234" w:rsidRDefault="00C25234">
      <w:pPr>
        <w:rPr>
          <w:b/>
        </w:rPr>
      </w:pPr>
    </w:p>
    <w:p w:rsidR="00C25234" w:rsidRDefault="00C25234">
      <w:pPr>
        <w:rPr>
          <w:b/>
        </w:rPr>
      </w:pPr>
    </w:p>
    <w:p w:rsidR="00C25234" w:rsidRDefault="00C25234">
      <w:pPr>
        <w:rPr>
          <w:b/>
        </w:rPr>
      </w:pPr>
    </w:p>
    <w:p w:rsidR="00C25234" w:rsidRDefault="00C25234">
      <w:pPr>
        <w:rPr>
          <w:b/>
        </w:rPr>
      </w:pPr>
    </w:p>
    <w:p w:rsidR="0078544F" w:rsidRDefault="0078544F">
      <w:pPr>
        <w:rPr>
          <w:b/>
        </w:rPr>
      </w:pPr>
    </w:p>
    <w:p w:rsidR="00C608D5" w:rsidRDefault="00C608D5">
      <w:pPr>
        <w:rPr>
          <w:b/>
        </w:rPr>
      </w:pPr>
    </w:p>
    <w:p w:rsidR="00B91E45" w:rsidRDefault="00C66741">
      <w:pPr>
        <w:rPr>
          <w:b/>
        </w:rPr>
      </w:pPr>
      <w:r w:rsidRPr="00C66741">
        <w:rPr>
          <w:b/>
        </w:rPr>
        <w:lastRenderedPageBreak/>
        <w:t>Introduction</w:t>
      </w:r>
    </w:p>
    <w:p w:rsidR="0078544F" w:rsidRDefault="0078544F" w:rsidP="0078544F">
      <w:pPr>
        <w:spacing w:line="480" w:lineRule="auto"/>
        <w:ind w:firstLine="720"/>
      </w:pPr>
      <w:r>
        <w:t>One encompassing early characterization of the NIE approach is as analyses relying on the literature on transaction costs, property rights and collective choice, e.g., Nabli and Nugent (1989).  Our perspective adds insights from what one may label a micro based political economy approach to encompass macro issues and a concept f</w:t>
      </w:r>
      <w:r w:rsidR="00DD537B">
        <w:t>r</w:t>
      </w:r>
      <w:r>
        <w:t>om complexity theory to include hard to capture microeconomic general equilibrium effects associated with government’s role in the economy.  Our aim is to consider relevant aspects of all types of ref</w:t>
      </w:r>
      <w:r w:rsidR="007D78A2">
        <w:t xml:space="preserve">orms </w:t>
      </w:r>
      <w:r>
        <w:t xml:space="preserve">that are usually ignored in the traditional economics literature.  </w:t>
      </w:r>
      <w:r w:rsidR="007D78A2">
        <w:t xml:space="preserve">These aspects need to be considered in conjunction with the more traditional ones for a thorough evaluation and interpretation of a reform process.  </w:t>
      </w:r>
      <w:r>
        <w:t>Cuba’s case provides a convenient pseudo natural experiment to explore these issues as a result of its being an outlier in many dimensions before and after the</w:t>
      </w:r>
      <w:r w:rsidR="007D78A2">
        <w:t xml:space="preserve">ir </w:t>
      </w:r>
      <w:r>
        <w:t>reforms</w:t>
      </w:r>
      <w:r w:rsidR="007D78A2">
        <w:t>, including those labelled ‘structural’.</w:t>
      </w:r>
    </w:p>
    <w:p w:rsidR="00DD537B" w:rsidRDefault="00DD537B" w:rsidP="00B4673B">
      <w:pPr>
        <w:spacing w:line="480" w:lineRule="auto"/>
        <w:ind w:firstLine="720"/>
      </w:pPr>
      <w:r>
        <w:t>For expository purposes, i</w:t>
      </w:r>
      <w:r w:rsidR="007D78A2">
        <w:t xml:space="preserve">t is convenient to </w:t>
      </w:r>
      <w:r w:rsidR="00C608D5">
        <w:t xml:space="preserve">group the </w:t>
      </w:r>
      <w:r w:rsidR="00E67B8D">
        <w:t xml:space="preserve">nine reforms </w:t>
      </w:r>
      <w:r w:rsidR="0022622D">
        <w:t>labelled as ‘structural’ by Mesa-Lago and P</w:t>
      </w:r>
      <w:r w:rsidR="00E4251C">
        <w:t>é</w:t>
      </w:r>
      <w:r w:rsidR="0022622D">
        <w:t>rez-L</w:t>
      </w:r>
      <w:r w:rsidR="00E4251C">
        <w:t>ó</w:t>
      </w:r>
      <w:r w:rsidR="0022622D">
        <w:t>pez</w:t>
      </w:r>
      <w:r w:rsidR="00C66741">
        <w:t xml:space="preserve"> </w:t>
      </w:r>
      <w:r w:rsidR="0022622D">
        <w:t>(2013</w:t>
      </w:r>
      <w:r w:rsidR="00E67B8D">
        <w:t>, Table 6.1</w:t>
      </w:r>
      <w:r w:rsidR="0022622D">
        <w:t>)</w:t>
      </w:r>
      <w:r w:rsidR="00C608D5">
        <w:t xml:space="preserve"> </w:t>
      </w:r>
      <w:r w:rsidR="00E67B8D">
        <w:t>into three types</w:t>
      </w:r>
      <w:r w:rsidR="0022478C">
        <w:t xml:space="preserve">.  In addition, </w:t>
      </w:r>
      <w:r w:rsidR="00CD4C28">
        <w:t xml:space="preserve">a </w:t>
      </w:r>
      <w:r w:rsidR="00C608D5">
        <w:t>few</w:t>
      </w:r>
      <w:r w:rsidR="00CD4C28">
        <w:t xml:space="preserve"> </w:t>
      </w:r>
      <w:r w:rsidR="006225E8">
        <w:t>changes that can be viewed as reforms</w:t>
      </w:r>
      <w:r w:rsidR="0022478C">
        <w:t>,</w:t>
      </w:r>
      <w:r w:rsidR="00C608D5">
        <w:t xml:space="preserve"> </w:t>
      </w:r>
      <w:r w:rsidR="006225E8">
        <w:t>not explicitly listed by them</w:t>
      </w:r>
      <w:r w:rsidR="00C608D5">
        <w:t xml:space="preserve"> as structural</w:t>
      </w:r>
      <w:r w:rsidR="0022478C">
        <w:t>,</w:t>
      </w:r>
      <w:r w:rsidR="006225E8">
        <w:t xml:space="preserve"> </w:t>
      </w:r>
      <w:r w:rsidR="007D78A2">
        <w:t xml:space="preserve">are </w:t>
      </w:r>
      <w:r w:rsidR="00C608D5">
        <w:t>assigned to their type.</w:t>
      </w:r>
      <w:r w:rsidR="0022622D">
        <w:t xml:space="preserve"> </w:t>
      </w:r>
      <w:r w:rsidR="00E67B8D">
        <w:t xml:space="preserve"> </w:t>
      </w:r>
      <w:r w:rsidR="006225E8">
        <w:t>In the first group are m</w:t>
      </w:r>
      <w:r w:rsidR="001359AA">
        <w:t>acro reforms</w:t>
      </w:r>
      <w:r w:rsidR="006225E8">
        <w:t xml:space="preserve">, i.e., </w:t>
      </w:r>
      <w:r w:rsidR="0022622D">
        <w:t>exchange rate unification</w:t>
      </w:r>
      <w:r w:rsidR="001359AA">
        <w:t xml:space="preserve"> and tax reform</w:t>
      </w:r>
      <w:r w:rsidR="006225E8">
        <w:t>.</w:t>
      </w:r>
      <w:r w:rsidR="001359AA">
        <w:t xml:space="preserve"> </w:t>
      </w:r>
      <w:r w:rsidR="006225E8">
        <w:t xml:space="preserve"> A second group </w:t>
      </w:r>
      <w:r w:rsidR="00C608D5">
        <w:t>includes</w:t>
      </w:r>
      <w:r w:rsidR="006225E8">
        <w:t xml:space="preserve"> r</w:t>
      </w:r>
      <w:r w:rsidR="001359AA">
        <w:t>eforms associated with updating of the</w:t>
      </w:r>
      <w:r w:rsidR="00E67B8D">
        <w:t xml:space="preserve"> economic </w:t>
      </w:r>
      <w:r w:rsidR="00592A12">
        <w:t>‘</w:t>
      </w:r>
      <w:r w:rsidR="001359AA">
        <w:t>model’</w:t>
      </w:r>
      <w:r w:rsidR="00462B5C">
        <w:t xml:space="preserve">.  </w:t>
      </w:r>
      <w:r w:rsidR="007D78A2">
        <w:t xml:space="preserve">This </w:t>
      </w:r>
      <w:r w:rsidR="00116D2C">
        <w:t>type</w:t>
      </w:r>
      <w:r w:rsidR="007D78A2">
        <w:t xml:space="preserve"> includes </w:t>
      </w:r>
      <w:r w:rsidR="0022478C">
        <w:t xml:space="preserve">the </w:t>
      </w:r>
      <w:r w:rsidR="00101A9C">
        <w:t>end of rationing system</w:t>
      </w:r>
      <w:r w:rsidR="00E67B8D">
        <w:t>,</w:t>
      </w:r>
      <w:r w:rsidR="00101A9C">
        <w:t xml:space="preserve"> dismissal of state workers</w:t>
      </w:r>
      <w:r w:rsidR="006225E8">
        <w:t xml:space="preserve"> and</w:t>
      </w:r>
      <w:r w:rsidR="00101A9C">
        <w:t xml:space="preserve"> creation of private jobs through self-employment</w:t>
      </w:r>
      <w:r w:rsidR="006225E8">
        <w:t xml:space="preserve"> and </w:t>
      </w:r>
      <w:r w:rsidR="00DA5D93">
        <w:t xml:space="preserve">cooperatives, </w:t>
      </w:r>
      <w:r w:rsidR="006225E8">
        <w:t xml:space="preserve">to which I add </w:t>
      </w:r>
      <w:r w:rsidR="00101A9C">
        <w:t>foreign direct investment</w:t>
      </w:r>
      <w:r w:rsidR="00666F37">
        <w:t xml:space="preserve">, </w:t>
      </w:r>
      <w:r w:rsidR="00666F37" w:rsidRPr="00666F37">
        <w:rPr>
          <w:i/>
        </w:rPr>
        <w:t>perfeccionamiento empresarial</w:t>
      </w:r>
      <w:r w:rsidR="001359AA">
        <w:t xml:space="preserve"> </w:t>
      </w:r>
      <w:r w:rsidR="00101A9C">
        <w:t>and participation in Mariel</w:t>
      </w:r>
      <w:r w:rsidR="001C32AF">
        <w:t>’s</w:t>
      </w:r>
      <w:r w:rsidR="00101A9C">
        <w:t xml:space="preserve"> free economic zone</w:t>
      </w:r>
      <w:r w:rsidR="001C32AF">
        <w:t xml:space="preserve"> (ZDEM).</w:t>
      </w:r>
      <w:r w:rsidR="0022622D">
        <w:t xml:space="preserve"> </w:t>
      </w:r>
      <w:r w:rsidR="006225E8">
        <w:t xml:space="preserve"> The last group are r</w:t>
      </w:r>
      <w:r w:rsidR="001359AA">
        <w:t xml:space="preserve">eforms associated with </w:t>
      </w:r>
      <w:r w:rsidR="0022622D">
        <w:t>market liberalizations</w:t>
      </w:r>
      <w:r w:rsidR="00B36805">
        <w:t>.</w:t>
      </w:r>
      <w:r w:rsidR="00101A9C">
        <w:t xml:space="preserve"> </w:t>
      </w:r>
      <w:r w:rsidR="00B36805">
        <w:t xml:space="preserve"> F</w:t>
      </w:r>
      <w:r w:rsidR="00101A9C">
        <w:t xml:space="preserve">or </w:t>
      </w:r>
      <w:r w:rsidR="001C32AF">
        <w:t>instance,</w:t>
      </w:r>
      <w:r w:rsidR="00101A9C">
        <w:t xml:space="preserve"> </w:t>
      </w:r>
      <w:r w:rsidR="00B36805">
        <w:t>the ability to buy, sell</w:t>
      </w:r>
      <w:r w:rsidR="00101A9C">
        <w:t xml:space="preserve"> and own assets</w:t>
      </w:r>
      <w:r w:rsidR="00462B5C">
        <w:t xml:space="preserve"> e.g., autos</w:t>
      </w:r>
      <w:r w:rsidR="006225E8">
        <w:t xml:space="preserve"> and</w:t>
      </w:r>
      <w:r w:rsidR="00462B5C">
        <w:t xml:space="preserve"> houses</w:t>
      </w:r>
      <w:r w:rsidR="006225E8">
        <w:t xml:space="preserve">, </w:t>
      </w:r>
      <w:r w:rsidR="0051656C">
        <w:t xml:space="preserve">to </w:t>
      </w:r>
      <w:r w:rsidR="00101A9C">
        <w:t>migrat</w:t>
      </w:r>
      <w:r w:rsidR="0051656C">
        <w:t>e</w:t>
      </w:r>
      <w:r w:rsidR="00101A9C">
        <w:t xml:space="preserve"> (internationally and domestically), and </w:t>
      </w:r>
      <w:r w:rsidR="0051656C">
        <w:t xml:space="preserve">to have land in </w:t>
      </w:r>
      <w:r w:rsidR="00101A9C">
        <w:t>usufruct</w:t>
      </w:r>
      <w:r w:rsidR="0051656C">
        <w:t>.</w:t>
      </w:r>
      <w:r w:rsidR="0022622D">
        <w:t xml:space="preserve"> </w:t>
      </w:r>
      <w:r w:rsidR="006225E8">
        <w:t xml:space="preserve"> More</w:t>
      </w:r>
      <w:r w:rsidR="00116D2C">
        <w:t>over,</w:t>
      </w:r>
      <w:r w:rsidR="006225E8">
        <w:t xml:space="preserve"> </w:t>
      </w:r>
      <w:r w:rsidR="0043094B">
        <w:t xml:space="preserve">I </w:t>
      </w:r>
      <w:r>
        <w:t xml:space="preserve">also </w:t>
      </w:r>
      <w:r w:rsidR="006225E8">
        <w:t xml:space="preserve">include </w:t>
      </w:r>
      <w:r w:rsidR="00116D2C">
        <w:t xml:space="preserve">among </w:t>
      </w:r>
      <w:r w:rsidR="006225E8">
        <w:t>th</w:t>
      </w:r>
      <w:r w:rsidR="00116D2C">
        <w:t>is type</w:t>
      </w:r>
      <w:r w:rsidR="006225E8">
        <w:t xml:space="preserve"> less visible </w:t>
      </w:r>
      <w:r w:rsidR="00116D2C">
        <w:t xml:space="preserve">reforms, e.g., </w:t>
      </w:r>
      <w:r w:rsidR="0043094B">
        <w:t>a</w:t>
      </w:r>
      <w:r w:rsidR="006225E8">
        <w:t>llowing agricultural prod</w:t>
      </w:r>
      <w:r w:rsidR="0043094B">
        <w:t xml:space="preserve">ucers </w:t>
      </w:r>
      <w:r w:rsidR="006225E8">
        <w:t>to sell to for</w:t>
      </w:r>
      <w:r w:rsidR="0043094B">
        <w:t>e</w:t>
      </w:r>
      <w:r w:rsidR="006225E8">
        <w:t>ign hotels and restaurants.</w:t>
      </w:r>
      <w:r w:rsidR="0043094B">
        <w:t xml:space="preserve">  </w:t>
      </w:r>
    </w:p>
    <w:p w:rsidR="00B17057" w:rsidRDefault="00316E0F" w:rsidP="00B4673B">
      <w:pPr>
        <w:spacing w:line="480" w:lineRule="auto"/>
        <w:ind w:firstLine="720"/>
      </w:pPr>
      <w:r>
        <w:t>T</w:t>
      </w:r>
      <w:r w:rsidR="00301283">
        <w:t xml:space="preserve">he next section </w:t>
      </w:r>
      <w:r w:rsidR="00B6109E">
        <w:t xml:space="preserve">discusses </w:t>
      </w:r>
      <w:r w:rsidR="00DA5D93">
        <w:t xml:space="preserve">elementary political economy aspects that provide </w:t>
      </w:r>
      <w:r w:rsidR="001C32AF">
        <w:t xml:space="preserve">a </w:t>
      </w:r>
      <w:r w:rsidR="00DA5D93">
        <w:t>powerful insight into the interpretation and evaluation of</w:t>
      </w:r>
      <w:r w:rsidR="00383F81">
        <w:t xml:space="preserve"> </w:t>
      </w:r>
      <w:r w:rsidR="00DA5D93">
        <w:t xml:space="preserve">the two </w:t>
      </w:r>
      <w:r>
        <w:t xml:space="preserve">structural </w:t>
      </w:r>
      <w:r w:rsidR="00DA5D93">
        <w:t>macro reforms</w:t>
      </w:r>
      <w:r w:rsidR="00EB59E2">
        <w:t>.</w:t>
      </w:r>
      <w:r w:rsidR="00DA5D93">
        <w:t xml:space="preserve">  Subsequently,  an </w:t>
      </w:r>
      <w:r w:rsidR="00DA5D93">
        <w:lastRenderedPageBreak/>
        <w:t xml:space="preserve">interpretation of the updating of the economic ’model’ and associated reforms </w:t>
      </w:r>
      <w:r w:rsidR="00B6109E">
        <w:t xml:space="preserve">is provided </w:t>
      </w:r>
      <w:r w:rsidR="00DA5D93">
        <w:t>by viewing them as a realignment of what the industrial organization and law and econo</w:t>
      </w:r>
      <w:r w:rsidR="00383F81">
        <w:t>mics</w:t>
      </w:r>
      <w:r w:rsidR="00DA5D93">
        <w:t xml:space="preserve"> literature</w:t>
      </w:r>
      <w:r w:rsidR="00383F81">
        <w:t xml:space="preserve"> would call relational contracts.  Finally </w:t>
      </w:r>
      <w:r w:rsidR="00B6109E">
        <w:t xml:space="preserve">an </w:t>
      </w:r>
      <w:r w:rsidR="00462B5C">
        <w:t xml:space="preserve">interpretation and evaluation </w:t>
      </w:r>
      <w:r w:rsidR="00B6109E">
        <w:t xml:space="preserve">of </w:t>
      </w:r>
      <w:r>
        <w:t>structural reforms associated with</w:t>
      </w:r>
      <w:r w:rsidR="00383F81">
        <w:t xml:space="preserve"> market liberalizations </w:t>
      </w:r>
      <w:r w:rsidR="00B6109E">
        <w:t>is put forth</w:t>
      </w:r>
      <w:r w:rsidR="00EB59E2">
        <w:t xml:space="preserve">.  It </w:t>
      </w:r>
      <w:r w:rsidR="00740B68">
        <w:t xml:space="preserve">includes </w:t>
      </w:r>
      <w:r w:rsidR="00EB59E2">
        <w:t>appl</w:t>
      </w:r>
      <w:r w:rsidR="00740B68">
        <w:t xml:space="preserve">ying </w:t>
      </w:r>
      <w:r w:rsidR="00EB59E2">
        <w:t xml:space="preserve">a concept derived from </w:t>
      </w:r>
      <w:r w:rsidR="00CD4C28">
        <w:t xml:space="preserve">information </w:t>
      </w:r>
      <w:r w:rsidR="00462B5C">
        <w:t>theory</w:t>
      </w:r>
      <w:r w:rsidR="00EB59E2">
        <w:t xml:space="preserve">, relational constraints, to </w:t>
      </w:r>
      <w:r w:rsidR="00033874">
        <w:t xml:space="preserve">interpret and evaluate </w:t>
      </w:r>
      <w:r w:rsidR="00EB59E2">
        <w:t xml:space="preserve">the improvement in aspects of civil liberties associated with these </w:t>
      </w:r>
      <w:r w:rsidR="00830401">
        <w:t>market liberalizations.</w:t>
      </w:r>
      <w:r>
        <w:t xml:space="preserve">  </w:t>
      </w:r>
      <w:r w:rsidR="00740B68">
        <w:t xml:space="preserve">This interpretation also differentiate Cuba’s reforms from China’s. </w:t>
      </w:r>
    </w:p>
    <w:p w:rsidR="00DD3CA0" w:rsidRDefault="00B17057" w:rsidP="00B17057">
      <w:pPr>
        <w:spacing w:line="480" w:lineRule="auto"/>
        <w:rPr>
          <w:b/>
        </w:rPr>
      </w:pPr>
      <w:r>
        <w:rPr>
          <w:b/>
        </w:rPr>
        <w:t xml:space="preserve">I. Macro </w:t>
      </w:r>
      <w:r w:rsidR="00960B5C">
        <w:rPr>
          <w:b/>
        </w:rPr>
        <w:t xml:space="preserve">Structural </w:t>
      </w:r>
      <w:r>
        <w:rPr>
          <w:b/>
        </w:rPr>
        <w:t xml:space="preserve">Reforms: </w:t>
      </w:r>
      <w:r w:rsidR="00960B5C">
        <w:rPr>
          <w:b/>
        </w:rPr>
        <w:t xml:space="preserve">A Political Economy View of </w:t>
      </w:r>
      <w:r>
        <w:rPr>
          <w:b/>
        </w:rPr>
        <w:t>E</w:t>
      </w:r>
      <w:r w:rsidR="00DD3CA0" w:rsidRPr="00DD3CA0">
        <w:rPr>
          <w:b/>
        </w:rPr>
        <w:t>xchange Rate Unification</w:t>
      </w:r>
      <w:r>
        <w:rPr>
          <w:b/>
        </w:rPr>
        <w:t xml:space="preserve"> &amp; Tax</w:t>
      </w:r>
      <w:r w:rsidR="00960B5C">
        <w:rPr>
          <w:b/>
        </w:rPr>
        <w:t xml:space="preserve"> Reform</w:t>
      </w:r>
      <w:r>
        <w:rPr>
          <w:b/>
        </w:rPr>
        <w:t>.</w:t>
      </w:r>
    </w:p>
    <w:p w:rsidR="00033874" w:rsidRDefault="00960B5C" w:rsidP="00B4673B">
      <w:pPr>
        <w:spacing w:line="480" w:lineRule="auto"/>
        <w:ind w:firstLine="720"/>
      </w:pPr>
      <w:r>
        <w:t xml:space="preserve">Exchange rate </w:t>
      </w:r>
      <w:r w:rsidR="00133695">
        <w:t>u</w:t>
      </w:r>
      <w:r>
        <w:t xml:space="preserve">nification </w:t>
      </w:r>
      <w:r w:rsidR="00DD3CA0">
        <w:t xml:space="preserve">is one of the most talked about reforms in Cuba by the regime, its critics </w:t>
      </w:r>
      <w:r w:rsidR="00033874">
        <w:t>and</w:t>
      </w:r>
      <w:r w:rsidR="00DD3CA0">
        <w:t xml:space="preserve"> what might be called </w:t>
      </w:r>
      <w:r w:rsidR="001C32AF">
        <w:t>‘</w:t>
      </w:r>
      <w:r w:rsidR="00DD3CA0">
        <w:t>neutral</w:t>
      </w:r>
      <w:r w:rsidR="001C32AF">
        <w:t>’</w:t>
      </w:r>
      <w:r w:rsidR="00DD3CA0">
        <w:t xml:space="preserve"> observers</w:t>
      </w:r>
      <w:r w:rsidR="00A95E97">
        <w:t>.</w:t>
      </w:r>
      <w:r w:rsidR="00DD3CA0">
        <w:t xml:space="preserve">  </w:t>
      </w:r>
      <w:r>
        <w:t>It has been under discussion for many years</w:t>
      </w:r>
      <w:r w:rsidR="00033874">
        <w:t xml:space="preserve">.  </w:t>
      </w:r>
      <w:r>
        <w:t xml:space="preserve"> Indeed, Jos</w:t>
      </w:r>
      <w:r w:rsidR="00CC1F8A">
        <w:t>é</w:t>
      </w:r>
      <w:r>
        <w:t xml:space="preserve"> Luis Rodr</w:t>
      </w:r>
      <w:r w:rsidR="00195F10">
        <w:t>í</w:t>
      </w:r>
      <w:r>
        <w:t xml:space="preserve">guez </w:t>
      </w:r>
      <w:r w:rsidR="00CD4C28">
        <w:t>(2013)</w:t>
      </w:r>
      <w:r w:rsidR="003C2008">
        <w:t>,</w:t>
      </w:r>
      <w:r w:rsidR="00CD4C28">
        <w:t xml:space="preserve"> </w:t>
      </w:r>
      <w:r>
        <w:t>evaluating 50 years of revolution</w:t>
      </w:r>
      <w:r w:rsidR="00CD4C28">
        <w:t xml:space="preserve"> at the end of his term as Minister of P</w:t>
      </w:r>
      <w:r w:rsidR="003C2008">
        <w:t>l</w:t>
      </w:r>
      <w:r w:rsidR="00CD4C28">
        <w:t>anning and Economy</w:t>
      </w:r>
      <w:r w:rsidR="003C2008">
        <w:t xml:space="preserve"> </w:t>
      </w:r>
      <w:r>
        <w:t>in 2009</w:t>
      </w:r>
      <w:r w:rsidR="00A95E97">
        <w:t>,</w:t>
      </w:r>
      <w:r>
        <w:t xml:space="preserve"> identified this reform as a critical challenge</w:t>
      </w:r>
      <w:r w:rsidR="003C2008">
        <w:t xml:space="preserve">.  </w:t>
      </w:r>
      <w:r w:rsidR="00E02C13">
        <w:t xml:space="preserve">For a detailed account of the unification process up to August 2014 from a perspective </w:t>
      </w:r>
      <w:r w:rsidR="003C2008">
        <w:t xml:space="preserve">also </w:t>
      </w:r>
      <w:r w:rsidR="00E02C13">
        <w:t>friendly to the Cuban government see Amuch</w:t>
      </w:r>
      <w:r w:rsidR="00CC1F8A">
        <w:t>á</w:t>
      </w:r>
      <w:r w:rsidR="00E02C13">
        <w:t xml:space="preserve">stegui (2014).  What is missing from </w:t>
      </w:r>
      <w:r w:rsidR="003C2008">
        <w:t xml:space="preserve">both </w:t>
      </w:r>
      <w:r w:rsidR="00E02C13">
        <w:t>account</w:t>
      </w:r>
      <w:r w:rsidR="003C2008">
        <w:t>s</w:t>
      </w:r>
      <w:r w:rsidR="00E02C13">
        <w:t xml:space="preserve"> as well as from other</w:t>
      </w:r>
      <w:r w:rsidR="00A731F0">
        <w:t xml:space="preserve"> less friendly ones</w:t>
      </w:r>
      <w:r w:rsidR="00E02C13">
        <w:t xml:space="preserve"> are important fundamental reasons for the delays in implementation.</w:t>
      </w:r>
    </w:p>
    <w:p w:rsidR="00DD3CA0" w:rsidRDefault="00ED0DC8" w:rsidP="00B4673B">
      <w:pPr>
        <w:spacing w:line="480" w:lineRule="auto"/>
        <w:ind w:firstLine="720"/>
      </w:pPr>
      <w:r>
        <w:t xml:space="preserve">There </w:t>
      </w:r>
      <w:r w:rsidR="00A95E97">
        <w:t xml:space="preserve">is a </w:t>
      </w:r>
      <w:r>
        <w:t xml:space="preserve">consensus that it is the </w:t>
      </w:r>
      <w:r w:rsidR="001C32AF">
        <w:t>convertible peso (</w:t>
      </w:r>
      <w:r>
        <w:t>CUC</w:t>
      </w:r>
      <w:r w:rsidR="001C32AF">
        <w:t xml:space="preserve">) </w:t>
      </w:r>
      <w:r w:rsidR="00A95E97">
        <w:t>and not the</w:t>
      </w:r>
      <w:r w:rsidR="001C32AF">
        <w:t xml:space="preserve"> Cuban peso (CUP) widely used by the population </w:t>
      </w:r>
      <w:r w:rsidR="00A95E97">
        <w:t xml:space="preserve">that needs to be eliminated. For instance, </w:t>
      </w:r>
      <w:r>
        <w:t>V. Echevarr</w:t>
      </w:r>
      <w:r w:rsidR="00CC1F8A">
        <w:t>í</w:t>
      </w:r>
      <w:r>
        <w:t xml:space="preserve">a indicates that </w:t>
      </w:r>
      <w:r w:rsidR="00A95E97">
        <w:t>D</w:t>
      </w:r>
      <w:r>
        <w:t xml:space="preserve">ay </w:t>
      </w:r>
      <w:r w:rsidR="00A95E97">
        <w:t>Z</w:t>
      </w:r>
      <w:r>
        <w:t xml:space="preserve">ero </w:t>
      </w:r>
      <w:r w:rsidR="00A95E97">
        <w:t xml:space="preserve">(eliminating the CUC) </w:t>
      </w:r>
      <w:r>
        <w:t>for business i</w:t>
      </w:r>
      <w:r w:rsidR="00A95E97">
        <w:t>n</w:t>
      </w:r>
      <w:r>
        <w:t>stitutions can happen as early as January (2015</w:t>
      </w:r>
      <w:r w:rsidR="00A95E97">
        <w:t xml:space="preserve">) and cites </w:t>
      </w:r>
      <w:r>
        <w:t xml:space="preserve">Pavel Vidal </w:t>
      </w:r>
      <w:r w:rsidR="00A95E97">
        <w:t>as a source.</w:t>
      </w:r>
      <w:r>
        <w:t xml:space="preserve"> </w:t>
      </w:r>
      <w:r w:rsidR="00A95E97">
        <w:t xml:space="preserve">  </w:t>
      </w:r>
      <w:r w:rsidR="00A27DEC">
        <w:t>Echevarr</w:t>
      </w:r>
      <w:r w:rsidR="00CC1F8A">
        <w:t>í</w:t>
      </w:r>
      <w:r w:rsidR="00A27DEC">
        <w:t xml:space="preserve">a also notes that when this elimination of the CUC will happen for other agents is left very much up in the air by the Cuban government.  </w:t>
      </w:r>
      <w:r w:rsidR="00A95E97">
        <w:t xml:space="preserve">The </w:t>
      </w:r>
      <w:r w:rsidR="005262F2">
        <w:t xml:space="preserve">economic </w:t>
      </w:r>
      <w:r w:rsidR="00A95E97">
        <w:t xml:space="preserve">logic </w:t>
      </w:r>
      <w:r w:rsidR="00A27DEC">
        <w:t xml:space="preserve">for eliminating the CUC rather than the CUP </w:t>
      </w:r>
      <w:r w:rsidR="00A95E97">
        <w:t>is simple</w:t>
      </w:r>
      <w:r w:rsidR="00033874">
        <w:t xml:space="preserve">. </w:t>
      </w:r>
      <w:r w:rsidR="00A95E97">
        <w:t xml:space="preserve"> </w:t>
      </w:r>
      <w:r w:rsidR="00A27DEC">
        <w:t xml:space="preserve">Cuba’s economic activities fail to generate </w:t>
      </w:r>
      <w:r w:rsidR="00A95E97">
        <w:t>enough dollars for a unified currency at</w:t>
      </w:r>
      <w:r w:rsidR="00A27DEC">
        <w:t xml:space="preserve"> the </w:t>
      </w:r>
      <w:r w:rsidR="00A95E97">
        <w:t xml:space="preserve">CUC’s rate of about 1:1 but might be </w:t>
      </w:r>
      <w:r w:rsidR="00A27DEC">
        <w:t xml:space="preserve">able to do so </w:t>
      </w:r>
      <w:r w:rsidR="00A95E97">
        <w:t xml:space="preserve">at much lower rates such as </w:t>
      </w:r>
      <w:r w:rsidR="00A27DEC">
        <w:t xml:space="preserve">the </w:t>
      </w:r>
      <w:r w:rsidR="00A95E97">
        <w:t>CUP’s rate of 1:25.</w:t>
      </w:r>
    </w:p>
    <w:p w:rsidR="00D328E9" w:rsidRDefault="00033874" w:rsidP="00C61B5F">
      <w:pPr>
        <w:spacing w:line="480" w:lineRule="auto"/>
        <w:ind w:firstLine="720"/>
      </w:pPr>
      <w:r>
        <w:t xml:space="preserve">Such a wide </w:t>
      </w:r>
      <w:r w:rsidR="00A95E97">
        <w:t xml:space="preserve">differential </w:t>
      </w:r>
      <w:r>
        <w:t>raises a</w:t>
      </w:r>
      <w:r w:rsidR="00A27DEC">
        <w:t xml:space="preserve"> basic political economy </w:t>
      </w:r>
      <w:r>
        <w:t xml:space="preserve">question </w:t>
      </w:r>
      <w:r w:rsidR="00A27DEC">
        <w:t>suggesting</w:t>
      </w:r>
      <w:r>
        <w:t xml:space="preserve"> </w:t>
      </w:r>
      <w:r w:rsidR="00A27DEC">
        <w:t>reasons for the delays.  Who benefitted from</w:t>
      </w:r>
      <w:r>
        <w:t xml:space="preserve"> introduction of the </w:t>
      </w:r>
      <w:r w:rsidR="00A27DEC">
        <w:t xml:space="preserve">CUC and who loses from its elimination?  When dollarization took place </w:t>
      </w:r>
      <w:r w:rsidR="00133695">
        <w:t xml:space="preserve">in 1993 </w:t>
      </w:r>
      <w:r w:rsidR="00A27DEC">
        <w:t>there was a redistribution of wealth in Cuba towards people who ha</w:t>
      </w:r>
      <w:r w:rsidR="00D328E9">
        <w:t>d</w:t>
      </w:r>
      <w:r w:rsidR="00A27DEC">
        <w:t xml:space="preserve"> direct access to dollars for a variety of reasons, including</w:t>
      </w:r>
      <w:r>
        <w:t xml:space="preserve"> friends and </w:t>
      </w:r>
      <w:r w:rsidR="00A27DEC">
        <w:t>relatives abroad or strategic p</w:t>
      </w:r>
      <w:r w:rsidR="00D328E9">
        <w:t>l</w:t>
      </w:r>
      <w:r w:rsidR="00A27DEC">
        <w:t xml:space="preserve">acements </w:t>
      </w:r>
      <w:r w:rsidR="00D328E9">
        <w:t xml:space="preserve">in </w:t>
      </w:r>
      <w:r w:rsidR="00A27DEC">
        <w:t xml:space="preserve">the Cuban government hierarchy that generated this </w:t>
      </w:r>
      <w:r w:rsidR="00F27896">
        <w:t xml:space="preserve">direct </w:t>
      </w:r>
      <w:r w:rsidR="00A27DEC">
        <w:t>access.</w:t>
      </w:r>
      <w:r w:rsidR="00D328E9">
        <w:t xml:space="preserve">  Th</w:t>
      </w:r>
      <w:r w:rsidR="00C61B5F">
        <w:t>is redistribution process</w:t>
      </w:r>
      <w:r w:rsidR="00F27896">
        <w:t xml:space="preserve"> </w:t>
      </w:r>
      <w:r w:rsidR="002A60BF">
        <w:t xml:space="preserve">eliminated </w:t>
      </w:r>
      <w:r w:rsidR="00D328E9">
        <w:t xml:space="preserve">many loyal supporters of the regime </w:t>
      </w:r>
      <w:r w:rsidR="00C61B5F">
        <w:t xml:space="preserve">from </w:t>
      </w:r>
      <w:r w:rsidR="00D328E9">
        <w:t>being economic elite</w:t>
      </w:r>
      <w:r>
        <w:t>s</w:t>
      </w:r>
      <w:r w:rsidR="00D328E9">
        <w:t xml:space="preserve"> even though they remained politically elite.  The CUC </w:t>
      </w:r>
      <w:r w:rsidR="00350145">
        <w:t xml:space="preserve">was a </w:t>
      </w:r>
      <w:r w:rsidR="00D328E9">
        <w:t>mechanism</w:t>
      </w:r>
      <w:r w:rsidR="00350145">
        <w:t xml:space="preserve"> under the sole control of the Cuban government</w:t>
      </w:r>
      <w:r w:rsidR="00CC1F8A">
        <w:t>.</w:t>
      </w:r>
      <w:r w:rsidR="00350145">
        <w:t xml:space="preserve"> </w:t>
      </w:r>
      <w:r w:rsidR="00CC1F8A">
        <w:t>It</w:t>
      </w:r>
      <w:r w:rsidR="00350145">
        <w:t xml:space="preserve"> initially </w:t>
      </w:r>
      <w:r w:rsidR="00D328E9">
        <w:t>provid</w:t>
      </w:r>
      <w:r w:rsidR="00350145">
        <w:t>ed</w:t>
      </w:r>
      <w:r w:rsidR="00D328E9">
        <w:t xml:space="preserve"> access to dollars </w:t>
      </w:r>
      <w:r w:rsidR="00350145">
        <w:t xml:space="preserve">on a 1 to 1 basis </w:t>
      </w:r>
      <w:r w:rsidR="00D328E9">
        <w:t xml:space="preserve">for these suddenly marginalized </w:t>
      </w:r>
      <w:r>
        <w:t xml:space="preserve">political </w:t>
      </w:r>
      <w:r w:rsidR="00D328E9">
        <w:t>elites.</w:t>
      </w:r>
      <w:r w:rsidR="00C61B5F">
        <w:rPr>
          <w:rStyle w:val="FootnoteReference"/>
        </w:rPr>
        <w:footnoteReference w:id="1"/>
      </w:r>
      <w:r w:rsidR="00D328E9">
        <w:t xml:space="preserve">  </w:t>
      </w:r>
    </w:p>
    <w:p w:rsidR="00350145" w:rsidRDefault="00D328E9" w:rsidP="00B4673B">
      <w:pPr>
        <w:spacing w:line="480" w:lineRule="auto"/>
        <w:ind w:firstLine="720"/>
      </w:pPr>
      <w:r>
        <w:t xml:space="preserve">Elimination of the CUC has two negative effects on </w:t>
      </w:r>
      <w:r w:rsidR="00F27896">
        <w:t>its hol</w:t>
      </w:r>
      <w:r w:rsidR="00980AB4">
        <w:t xml:space="preserve">ders </w:t>
      </w:r>
      <w:r w:rsidR="00B9011B">
        <w:t xml:space="preserve">as </w:t>
      </w:r>
      <w:r w:rsidR="00980AB4">
        <w:t>currency or demand deposits:</w:t>
      </w:r>
      <w:r>
        <w:t xml:space="preserve"> an immediate </w:t>
      </w:r>
      <w:r w:rsidR="00F27896">
        <w:t xml:space="preserve">or short-term </w:t>
      </w:r>
      <w:r>
        <w:t>negative wealth effect</w:t>
      </w:r>
      <w:r w:rsidR="00F27896">
        <w:t xml:space="preserve"> (the </w:t>
      </w:r>
      <w:r w:rsidR="00980AB4">
        <w:t xml:space="preserve">size </w:t>
      </w:r>
      <w:r w:rsidR="00F27896">
        <w:t xml:space="preserve">of which would </w:t>
      </w:r>
      <w:r>
        <w:t xml:space="preserve">depend on the rate </w:t>
      </w:r>
      <w:r w:rsidR="00F27896">
        <w:t xml:space="preserve">of conversion from </w:t>
      </w:r>
      <w:r>
        <w:t xml:space="preserve">the CUC </w:t>
      </w:r>
      <w:r w:rsidR="00F27896">
        <w:t>to</w:t>
      </w:r>
      <w:r w:rsidR="00B9011B">
        <w:t xml:space="preserve"> </w:t>
      </w:r>
      <w:r w:rsidR="00980AB4">
        <w:t xml:space="preserve">CUP’s </w:t>
      </w:r>
      <w:r>
        <w:t>at the time of elimination</w:t>
      </w:r>
      <w:r w:rsidR="00F27896">
        <w:t>)</w:t>
      </w:r>
      <w:r>
        <w:t>; and a long</w:t>
      </w:r>
      <w:r w:rsidR="00CC1F8A">
        <w:t>-</w:t>
      </w:r>
      <w:r>
        <w:t>term effect</w:t>
      </w:r>
      <w:r w:rsidR="00980AB4">
        <w:t>,</w:t>
      </w:r>
      <w:r>
        <w:t xml:space="preserve"> requiring this newly marginalized elite</w:t>
      </w:r>
      <w:r w:rsidR="00350145">
        <w:t>s</w:t>
      </w:r>
      <w:r>
        <w:t xml:space="preserve"> to find new sources of </w:t>
      </w:r>
      <w:r w:rsidR="00283636">
        <w:t>dollars or more generally foreign currencies.</w:t>
      </w:r>
      <w:r>
        <w:t xml:space="preserve">  The delays dampen both effects on </w:t>
      </w:r>
      <w:r w:rsidR="00D625B0">
        <w:t>current economic and political</w:t>
      </w:r>
      <w:r w:rsidR="00CC1F8A">
        <w:t xml:space="preserve"> </w:t>
      </w:r>
      <w:r>
        <w:t>elite members of society</w:t>
      </w:r>
      <w:r w:rsidR="00D625B0">
        <w:t>.  Delays allow those affected to soften the blow</w:t>
      </w:r>
      <w:r w:rsidR="00F85372">
        <w:t>, for example by exchanging CUC’s for CUP</w:t>
      </w:r>
      <w:r w:rsidR="00F27896">
        <w:t>’s</w:t>
      </w:r>
      <w:r w:rsidR="00F85372">
        <w:t xml:space="preserve"> at the current rate.  </w:t>
      </w:r>
      <w:r w:rsidR="00E02C13">
        <w:t xml:space="preserve"> </w:t>
      </w:r>
      <w:r w:rsidR="005E6D21">
        <w:t>Furthermore,</w:t>
      </w:r>
      <w:r w:rsidR="00F85372">
        <w:t xml:space="preserve"> </w:t>
      </w:r>
      <w:r w:rsidR="00D625B0">
        <w:t>they</w:t>
      </w:r>
      <w:r w:rsidR="00980AB4">
        <w:t xml:space="preserve"> also</w:t>
      </w:r>
      <w:r w:rsidR="00D625B0">
        <w:t xml:space="preserve"> provide time </w:t>
      </w:r>
      <w:r w:rsidR="00980AB4">
        <w:t xml:space="preserve">for </w:t>
      </w:r>
      <w:r w:rsidR="00F27896">
        <w:t xml:space="preserve">CUC holders to find alternative sources of foreign currencies and for </w:t>
      </w:r>
      <w:r w:rsidR="00980AB4">
        <w:t xml:space="preserve">the state </w:t>
      </w:r>
      <w:r w:rsidR="00D625B0">
        <w:t xml:space="preserve">to acquire </w:t>
      </w:r>
      <w:r w:rsidR="00283636">
        <w:t>foreign currencies</w:t>
      </w:r>
      <w:r w:rsidR="00D625B0">
        <w:t xml:space="preserve"> </w:t>
      </w:r>
      <w:r w:rsidR="00CC1F8A">
        <w:t xml:space="preserve">to be exchanged at </w:t>
      </w:r>
      <w:r w:rsidR="00D625B0">
        <w:t>a more favorable rate</w:t>
      </w:r>
      <w:r w:rsidR="007729C4">
        <w:t xml:space="preserve"> for CUC holders upon unification.</w:t>
      </w:r>
      <w:r w:rsidR="00D625B0">
        <w:t xml:space="preserve">  Of course, others who </w:t>
      </w:r>
      <w:r w:rsidR="00C61B5F">
        <w:t>are n</w:t>
      </w:r>
      <w:r w:rsidR="00D625B0">
        <w:t>ot members of the</w:t>
      </w:r>
      <w:r w:rsidR="00350145">
        <w:t xml:space="preserve"> original elites </w:t>
      </w:r>
      <w:r w:rsidR="00C61B5F">
        <w:t xml:space="preserve">and </w:t>
      </w:r>
      <w:r w:rsidR="00350145">
        <w:t xml:space="preserve">have </w:t>
      </w:r>
      <w:r w:rsidR="00D625B0">
        <w:t>acquire</w:t>
      </w:r>
      <w:r w:rsidR="00350145">
        <w:t>d</w:t>
      </w:r>
      <w:r w:rsidR="00D625B0">
        <w:t xml:space="preserve"> CUC’s would also benefit from the delays</w:t>
      </w:r>
      <w:r w:rsidR="00350145">
        <w:t>.</w:t>
      </w:r>
    </w:p>
    <w:p w:rsidR="00F85372" w:rsidRDefault="00350145" w:rsidP="00B4673B">
      <w:pPr>
        <w:spacing w:line="480" w:lineRule="auto"/>
        <w:ind w:firstLine="720"/>
      </w:pPr>
      <w:r>
        <w:t>Political economy c</w:t>
      </w:r>
      <w:r w:rsidR="00980AB4">
        <w:t xml:space="preserve">onsiderations </w:t>
      </w:r>
      <w:r w:rsidR="00C61B5F">
        <w:t xml:space="preserve">are </w:t>
      </w:r>
      <w:r w:rsidR="00980AB4">
        <w:t>also insight</w:t>
      </w:r>
      <w:r w:rsidR="00C61B5F">
        <w:t xml:space="preserve">ful </w:t>
      </w:r>
      <w:r w:rsidR="00980AB4">
        <w:t xml:space="preserve">on tax reform </w:t>
      </w:r>
      <w:r w:rsidR="00C61B5F">
        <w:t>issues.  M</w:t>
      </w:r>
      <w:r w:rsidR="00980AB4">
        <w:t xml:space="preserve">ore precisely </w:t>
      </w:r>
      <w:r w:rsidR="00ED0B8C">
        <w:t xml:space="preserve">on </w:t>
      </w:r>
      <w:r w:rsidR="00C61B5F">
        <w:t xml:space="preserve">why certain </w:t>
      </w:r>
      <w:r w:rsidR="00980AB4">
        <w:t>aspects of tax reform will not happen.</w:t>
      </w:r>
      <w:r w:rsidR="00F701B5">
        <w:t xml:space="preserve">  </w:t>
      </w:r>
      <w:r w:rsidR="00283636">
        <w:t xml:space="preserve">Namely, the Cuban state is desperate for foreign currencies and, thus, is unlikely to relinquish </w:t>
      </w:r>
      <w:r w:rsidR="009900E8">
        <w:t xml:space="preserve">voluntarily </w:t>
      </w:r>
      <w:r w:rsidR="005E6D21">
        <w:t xml:space="preserve">basic distortionary and inequitable </w:t>
      </w:r>
      <w:r w:rsidR="00283636">
        <w:t>taxing mechanism</w:t>
      </w:r>
      <w:r w:rsidR="009900E8">
        <w:t>s</w:t>
      </w:r>
      <w:r w:rsidR="00283636">
        <w:t xml:space="preserve"> by which it h</w:t>
      </w:r>
      <w:r w:rsidR="009900E8">
        <w:t>a</w:t>
      </w:r>
      <w:r w:rsidR="00283636">
        <w:t>s been acquiring them</w:t>
      </w:r>
      <w:r w:rsidR="009900E8">
        <w:t>.</w:t>
      </w:r>
      <w:r w:rsidR="00283636">
        <w:t xml:space="preserve"> </w:t>
      </w:r>
      <w:r w:rsidR="00B36805">
        <w:t xml:space="preserve"> </w:t>
      </w:r>
      <w:r w:rsidR="00F85372">
        <w:t>One specific valuable source</w:t>
      </w:r>
      <w:r w:rsidR="00C61B5F">
        <w:t xml:space="preserve"> to them </w:t>
      </w:r>
      <w:r w:rsidR="00F85372">
        <w:t>is</w:t>
      </w:r>
      <w:r w:rsidR="0016697D">
        <w:t xml:space="preserve"> the </w:t>
      </w:r>
      <w:r w:rsidR="00070DD3">
        <w:t xml:space="preserve">current system </w:t>
      </w:r>
      <w:r w:rsidR="0016697D">
        <w:t xml:space="preserve">for </w:t>
      </w:r>
      <w:r w:rsidR="00F701B5">
        <w:t>tax</w:t>
      </w:r>
      <w:r w:rsidR="0016697D">
        <w:t xml:space="preserve">ing earnings of </w:t>
      </w:r>
      <w:r w:rsidR="00F701B5">
        <w:t xml:space="preserve">Cuban workers’ </w:t>
      </w:r>
      <w:r w:rsidR="0016697D">
        <w:t>in foreign companies investing in Cuba or working abroad</w:t>
      </w:r>
      <w:r w:rsidR="00F85372">
        <w:t>.</w:t>
      </w:r>
      <w:r w:rsidR="00070DD3">
        <w:t xml:space="preserve"> </w:t>
      </w:r>
      <w:r w:rsidR="00F85372">
        <w:t xml:space="preserve"> The </w:t>
      </w:r>
      <w:r w:rsidR="00070DD3">
        <w:t xml:space="preserve">lack of plans to change </w:t>
      </w:r>
      <w:r w:rsidR="00F85372">
        <w:t xml:space="preserve">this system </w:t>
      </w:r>
      <w:r w:rsidR="00070DD3">
        <w:t xml:space="preserve">as part of the </w:t>
      </w:r>
      <w:r w:rsidR="00F85372">
        <w:t xml:space="preserve">tax reform </w:t>
      </w:r>
      <w:r w:rsidR="00ED0B8C">
        <w:t>provides a</w:t>
      </w:r>
      <w:r w:rsidR="00F85372">
        <w:t xml:space="preserve"> compelling </w:t>
      </w:r>
      <w:r w:rsidR="00ED0B8C">
        <w:t>illustration.</w:t>
      </w:r>
      <w:r w:rsidR="00070DD3">
        <w:t xml:space="preserve">  </w:t>
      </w:r>
      <w:r w:rsidR="00606070">
        <w:t xml:space="preserve">The system </w:t>
      </w:r>
      <w:r w:rsidR="00070DD3">
        <w:t>is well known</w:t>
      </w:r>
      <w:r w:rsidR="0016697D">
        <w:t xml:space="preserve">. For instance, </w:t>
      </w:r>
      <w:r w:rsidR="00ED0B8C">
        <w:t>papers presented at the</w:t>
      </w:r>
      <w:r w:rsidR="007729C4">
        <w:t xml:space="preserve"> 2014 ASCE </w:t>
      </w:r>
      <w:r w:rsidR="00ED0B8C">
        <w:t xml:space="preserve">meetings by </w:t>
      </w:r>
      <w:r w:rsidR="00070DD3">
        <w:t xml:space="preserve">participants </w:t>
      </w:r>
      <w:r w:rsidR="00606070">
        <w:t>from Cuba</w:t>
      </w:r>
      <w:r w:rsidR="00070DD3">
        <w:t xml:space="preserve"> provide details on </w:t>
      </w:r>
      <w:r w:rsidR="00606070">
        <w:t>this system and its variations</w:t>
      </w:r>
      <w:r w:rsidR="00ED0B8C">
        <w:t>, e.g., Aquique (2014</w:t>
      </w:r>
      <w:r w:rsidR="009900E8">
        <w:t>).</w:t>
      </w:r>
      <w:r w:rsidR="00F85372">
        <w:t xml:space="preserve">  </w:t>
      </w:r>
    </w:p>
    <w:p w:rsidR="00840C68" w:rsidRDefault="00606070" w:rsidP="00B4673B">
      <w:pPr>
        <w:spacing w:line="480" w:lineRule="auto"/>
        <w:ind w:firstLine="720"/>
      </w:pPr>
      <w:r>
        <w:t>I</w:t>
      </w:r>
      <w:r w:rsidR="0016697D">
        <w:t>n</w:t>
      </w:r>
      <w:r>
        <w:t xml:space="preserve"> essence </w:t>
      </w:r>
      <w:r w:rsidR="0016697D">
        <w:t xml:space="preserve">the system </w:t>
      </w:r>
      <w:r>
        <w:t xml:space="preserve">can be described as a </w:t>
      </w:r>
      <w:r w:rsidR="0016697D">
        <w:t>mechanism t</w:t>
      </w:r>
      <w:r>
        <w:t xml:space="preserve">o </w:t>
      </w:r>
      <w:r w:rsidR="00070DD3">
        <w:t>collect income taxes f</w:t>
      </w:r>
      <w:r>
        <w:t>r</w:t>
      </w:r>
      <w:r w:rsidR="00070DD3">
        <w:t xml:space="preserve">om </w:t>
      </w:r>
      <w:r>
        <w:t>workers</w:t>
      </w:r>
      <w:r w:rsidR="00C51F4A">
        <w:t>’</w:t>
      </w:r>
      <w:r>
        <w:t xml:space="preserve"> foreign earnings at confiscatory rates.  One anchor of the system </w:t>
      </w:r>
      <w:r w:rsidR="0016697D">
        <w:t xml:space="preserve">for </w:t>
      </w:r>
      <w:r w:rsidR="00070DD3">
        <w:t>foreign enterprise</w:t>
      </w:r>
      <w:r>
        <w:t>s</w:t>
      </w:r>
      <w:r w:rsidR="0016697D">
        <w:t xml:space="preserve"> investing in Cuba is </w:t>
      </w:r>
      <w:r>
        <w:t xml:space="preserve">requiring them </w:t>
      </w:r>
      <w:r w:rsidR="00070DD3">
        <w:t xml:space="preserve">to hire </w:t>
      </w:r>
      <w:r>
        <w:t>Cuban workers th</w:t>
      </w:r>
      <w:r w:rsidR="00070DD3">
        <w:t xml:space="preserve">rough </w:t>
      </w:r>
      <w:r>
        <w:t xml:space="preserve">the </w:t>
      </w:r>
      <w:r w:rsidR="00070DD3" w:rsidRPr="00840C68">
        <w:rPr>
          <w:i/>
        </w:rPr>
        <w:t>Empleadora Nacional</w:t>
      </w:r>
      <w:r>
        <w:t xml:space="preserve">.  The latter </w:t>
      </w:r>
      <w:r w:rsidR="007729C4">
        <w:t>is</w:t>
      </w:r>
      <w:r>
        <w:t xml:space="preserve"> </w:t>
      </w:r>
      <w:r w:rsidR="00070DD3">
        <w:t xml:space="preserve">paid </w:t>
      </w:r>
      <w:r w:rsidR="007729C4">
        <w:t xml:space="preserve">by the investor </w:t>
      </w:r>
      <w:r w:rsidR="00070DD3">
        <w:t xml:space="preserve">in foreign currency and the Cuban worker </w:t>
      </w:r>
      <w:r w:rsidR="007729C4">
        <w:t xml:space="preserve">is </w:t>
      </w:r>
      <w:r w:rsidR="00070DD3">
        <w:t>paid in CUP’s at</w:t>
      </w:r>
      <w:r>
        <w:t xml:space="preserve">, for example, </w:t>
      </w:r>
      <w:r w:rsidR="00070DD3">
        <w:t xml:space="preserve">1$:1CUP rate rather than at </w:t>
      </w:r>
      <w:r>
        <w:t xml:space="preserve">the </w:t>
      </w:r>
      <w:r w:rsidR="00070DD3">
        <w:t>$1:25</w:t>
      </w:r>
      <w:r>
        <w:t xml:space="preserve"> CUP rate enjoyed by the government company.  This amounts to a tax rate of over 95%. There are many variations that can improve on this rate </w:t>
      </w:r>
      <w:r w:rsidR="005262F2">
        <w:t xml:space="preserve">for the Cuban worker </w:t>
      </w:r>
      <w:r>
        <w:t>and still keep it at a confiscatory level.</w:t>
      </w:r>
      <w:r w:rsidR="004806B4">
        <w:t xml:space="preserve">  Ironically, even at these confiscatory rates workers in this system are part of an economic elite as a result of their </w:t>
      </w:r>
      <w:r w:rsidR="00B4673B">
        <w:t xml:space="preserve">potential </w:t>
      </w:r>
      <w:r w:rsidR="004806B4">
        <w:t>access to dollars or CUC’s</w:t>
      </w:r>
      <w:r w:rsidR="00B4673B">
        <w:t xml:space="preserve"> formally or informally</w:t>
      </w:r>
      <w:r w:rsidR="004806B4">
        <w:t xml:space="preserve">.  Indeed, their selection by the </w:t>
      </w:r>
      <w:r w:rsidR="004806B4" w:rsidRPr="00840C68">
        <w:rPr>
          <w:i/>
        </w:rPr>
        <w:t>Empleadora Na</w:t>
      </w:r>
      <w:r w:rsidR="00840C68" w:rsidRPr="00840C68">
        <w:rPr>
          <w:i/>
        </w:rPr>
        <w:t>c</w:t>
      </w:r>
      <w:r w:rsidR="004806B4" w:rsidRPr="00840C68">
        <w:rPr>
          <w:i/>
        </w:rPr>
        <w:t>ional</w:t>
      </w:r>
      <w:r w:rsidR="004806B4">
        <w:t xml:space="preserve"> </w:t>
      </w:r>
      <w:r w:rsidR="007729C4">
        <w:t xml:space="preserve">to hold jobs with access to foreign exchange </w:t>
      </w:r>
      <w:r w:rsidR="00840C68">
        <w:t xml:space="preserve">is </w:t>
      </w:r>
      <w:r w:rsidR="005262F2">
        <w:t xml:space="preserve">usually </w:t>
      </w:r>
      <w:r w:rsidR="00840C68">
        <w:t>conditioned on</w:t>
      </w:r>
      <w:r w:rsidR="005262F2">
        <w:t xml:space="preserve"> indicators that suggest </w:t>
      </w:r>
      <w:r w:rsidR="00840C68">
        <w:t>their being part of the regime’s loyal elites</w:t>
      </w:r>
      <w:r w:rsidR="005262F2">
        <w:t>, e.g., membership in the Communist party</w:t>
      </w:r>
      <w:r w:rsidR="00840C68">
        <w:t>.</w:t>
      </w:r>
    </w:p>
    <w:p w:rsidR="00AD01AC" w:rsidRDefault="007729C4" w:rsidP="00B4673B">
      <w:pPr>
        <w:spacing w:line="480" w:lineRule="auto"/>
        <w:ind w:firstLine="720"/>
      </w:pPr>
      <w:r>
        <w:t>T</w:t>
      </w:r>
      <w:r w:rsidR="00F85372">
        <w:t>his confiscatory income tax system</w:t>
      </w:r>
      <w:r w:rsidR="00606070">
        <w:t xml:space="preserve"> is </w:t>
      </w:r>
      <w:r>
        <w:t xml:space="preserve">also applied </w:t>
      </w:r>
      <w:r w:rsidR="00606070">
        <w:t>to the dozens of thousands of Cuban government workers sen</w:t>
      </w:r>
      <w:r w:rsidR="00ED0B8C">
        <w:t>t</w:t>
      </w:r>
      <w:r w:rsidR="00606070">
        <w:t xml:space="preserve"> abroad under government to government </w:t>
      </w:r>
      <w:r w:rsidR="00AD1A0A">
        <w:t>agreements,</w:t>
      </w:r>
      <w:r w:rsidR="00154A95">
        <w:t xml:space="preserve"> including those serving in Venezuela for example</w:t>
      </w:r>
      <w:r w:rsidR="00840C68">
        <w:t xml:space="preserve">. The latter </w:t>
      </w:r>
      <w:r w:rsidR="00154A95">
        <w:t>have been subjected to income tax rates as confiscatory as the one above.  Ironically</w:t>
      </w:r>
      <w:r w:rsidR="00AD1A0A">
        <w:t>,</w:t>
      </w:r>
      <w:r w:rsidR="00840C68">
        <w:t xml:space="preserve"> at the insistence of the Brazilian government </w:t>
      </w:r>
      <w:r w:rsidR="00794A6A">
        <w:t>a</w:t>
      </w:r>
      <w:r w:rsidR="00AD1A0A">
        <w:t xml:space="preserve"> new agreement with Brazil </w:t>
      </w:r>
      <w:r w:rsidR="00154A95">
        <w:t>lower</w:t>
      </w:r>
      <w:r w:rsidR="00AD1A0A">
        <w:t>s</w:t>
      </w:r>
      <w:r w:rsidR="00154A95">
        <w:t xml:space="preserve"> the rate</w:t>
      </w:r>
      <w:r w:rsidR="00AD1A0A">
        <w:t xml:space="preserve"> the Cuban government receives in </w:t>
      </w:r>
      <w:r>
        <w:t xml:space="preserve">dollars </w:t>
      </w:r>
      <w:r w:rsidR="00AD1A0A">
        <w:t xml:space="preserve">directly for its doctors to 70%, while leaving 30% to be paid in </w:t>
      </w:r>
      <w:r>
        <w:t xml:space="preserve">dollars </w:t>
      </w:r>
      <w:r w:rsidR="00AD1A0A">
        <w:t>directly to the Cuban doctors</w:t>
      </w:r>
      <w:r w:rsidR="00794A6A">
        <w:t xml:space="preserve"> in Brazil.</w:t>
      </w:r>
      <w:r w:rsidR="00AD1A0A">
        <w:t xml:space="preserve">  While this is an improvement over the Venezuelan arrangement</w:t>
      </w:r>
      <w:r>
        <w:t>,</w:t>
      </w:r>
      <w:r w:rsidR="00AD1A0A">
        <w:t xml:space="preserve"> </w:t>
      </w:r>
      <w:r w:rsidR="00B4673B">
        <w:t>especially since the wages for the doctors in absolute terms are fixed by the Brazilian government for all foreign doctors not just for Cubans, i</w:t>
      </w:r>
      <w:r w:rsidR="00AD1A0A">
        <w:t>t is still a confiscatory rate.  Indeed, an opposition candidate in Brazil challeng</w:t>
      </w:r>
      <w:r>
        <w:t>ed</w:t>
      </w:r>
      <w:r w:rsidR="00AD1A0A">
        <w:t xml:space="preserve"> this aspect of th</w:t>
      </w:r>
      <w:r w:rsidR="00EE232C">
        <w:t>e</w:t>
      </w:r>
      <w:r w:rsidR="00AD1A0A">
        <w:t xml:space="preserve"> </w:t>
      </w:r>
      <w:r w:rsidR="00EE232C">
        <w:t xml:space="preserve">agreement </w:t>
      </w:r>
      <w:r w:rsidR="0016697D">
        <w:t>while supporting the program of bringing foreign doc</w:t>
      </w:r>
      <w:r w:rsidR="00A66273">
        <w:t>tors</w:t>
      </w:r>
      <w:r w:rsidR="00840C68">
        <w:t xml:space="preserve"> to the country</w:t>
      </w:r>
      <w:r w:rsidR="00A66273">
        <w:t xml:space="preserve">.  </w:t>
      </w:r>
    </w:p>
    <w:p w:rsidR="00A66273" w:rsidRDefault="00AD01AC" w:rsidP="00B4673B">
      <w:pPr>
        <w:spacing w:line="480" w:lineRule="auto"/>
        <w:ind w:firstLine="720"/>
      </w:pPr>
      <w:r>
        <w:t xml:space="preserve">Werlau (2014) argues that </w:t>
      </w:r>
      <w:r w:rsidR="00B9011B">
        <w:t xml:space="preserve">Cuba is repaying Brazil’s </w:t>
      </w:r>
      <w:r>
        <w:t xml:space="preserve">most recent </w:t>
      </w:r>
      <w:r w:rsidR="00B9011B">
        <w:t>investment</w:t>
      </w:r>
      <w:r>
        <w:t>s</w:t>
      </w:r>
      <w:r w:rsidR="00B9011B">
        <w:t xml:space="preserve"> in Mariel’s Z</w:t>
      </w:r>
      <w:r w:rsidR="00891702">
        <w:t>DE</w:t>
      </w:r>
      <w:r w:rsidR="007729C4">
        <w:t xml:space="preserve"> </w:t>
      </w:r>
      <w:r w:rsidR="00B9011B">
        <w:t>by supplying Cuban doctors</w:t>
      </w:r>
      <w:r w:rsidR="007729C4">
        <w:t>.</w:t>
      </w:r>
      <w:r>
        <w:t xml:space="preserve">  </w:t>
      </w:r>
      <w:r w:rsidR="00F85372">
        <w:t xml:space="preserve">She estimates that </w:t>
      </w:r>
      <w:r>
        <w:t xml:space="preserve">the supply of doctors to Brazil through the </w:t>
      </w:r>
      <w:r w:rsidRPr="00C51F4A">
        <w:rPr>
          <w:i/>
        </w:rPr>
        <w:t>Ma</w:t>
      </w:r>
      <w:r w:rsidR="00592A12">
        <w:rPr>
          <w:i/>
        </w:rPr>
        <w:t>í</w:t>
      </w:r>
      <w:r w:rsidRPr="00C51F4A">
        <w:rPr>
          <w:i/>
        </w:rPr>
        <w:t>s Medicos</w:t>
      </w:r>
      <w:r>
        <w:t xml:space="preserve"> program will generate $400 million to the Cuban government on an annual basis.</w:t>
      </w:r>
      <w:r w:rsidR="00F85372">
        <w:t xml:space="preserve"> </w:t>
      </w:r>
      <w:r w:rsidR="00E24300">
        <w:t>This amounts to 20% of the estimated $2</w:t>
      </w:r>
      <w:r w:rsidR="00B36805">
        <w:t xml:space="preserve"> </w:t>
      </w:r>
      <w:r w:rsidR="00E24300">
        <w:t>billion value of remittances by ECLAC in 2010 (Mesa-Lago and P</w:t>
      </w:r>
      <w:r w:rsidR="00592A12">
        <w:t>é</w:t>
      </w:r>
      <w:r w:rsidR="00E24300">
        <w:t>rez L</w:t>
      </w:r>
      <w:r w:rsidR="00592A12">
        <w:t>ó</w:t>
      </w:r>
      <w:r w:rsidR="00E24300">
        <w:t>pez, 2013: p.80).</w:t>
      </w:r>
      <w:r w:rsidR="00154A95">
        <w:t xml:space="preserve"> </w:t>
      </w:r>
      <w:r w:rsidR="00E24300">
        <w:t xml:space="preserve"> </w:t>
      </w:r>
      <w:r>
        <w:t xml:space="preserve">For </w:t>
      </w:r>
      <w:r w:rsidR="00E24300">
        <w:t xml:space="preserve">current </w:t>
      </w:r>
      <w:r>
        <w:t>purposes it also</w:t>
      </w:r>
      <w:r w:rsidR="00A66273">
        <w:t xml:space="preserve"> provides an illustration of what I call in the next section a broad relational contract.  </w:t>
      </w:r>
      <w:r>
        <w:t xml:space="preserve">Finally, the 240% mark-up in the dollar stores </w:t>
      </w:r>
      <w:r w:rsidR="00B4673B">
        <w:t xml:space="preserve">operated by the government </w:t>
      </w:r>
      <w:r>
        <w:t>acts as an indirect tax or sales tax that captures foreign earnings.  While normally sales taxes are viewed as regressive, it is not clear that this would be the case in Cuba si</w:t>
      </w:r>
      <w:r w:rsidR="00E24300">
        <w:t xml:space="preserve">nce </w:t>
      </w:r>
      <w:r>
        <w:t>it is the economic elites that have access to for</w:t>
      </w:r>
      <w:r w:rsidR="00E24300">
        <w:t>e</w:t>
      </w:r>
      <w:r>
        <w:t>ign currencies.</w:t>
      </w:r>
    </w:p>
    <w:p w:rsidR="00283636" w:rsidRDefault="00283636" w:rsidP="00283636">
      <w:pPr>
        <w:spacing w:line="480" w:lineRule="auto"/>
        <w:rPr>
          <w:b/>
        </w:rPr>
      </w:pPr>
      <w:r w:rsidRPr="00283636">
        <w:rPr>
          <w:b/>
        </w:rPr>
        <w:t xml:space="preserve">II. Updating of the Economic ‘Model’: </w:t>
      </w:r>
      <w:r w:rsidR="009900E8">
        <w:rPr>
          <w:b/>
        </w:rPr>
        <w:t xml:space="preserve"> </w:t>
      </w:r>
      <w:r w:rsidRPr="00283636">
        <w:rPr>
          <w:b/>
        </w:rPr>
        <w:t>A Re-Alignment</w:t>
      </w:r>
      <w:r>
        <w:rPr>
          <w:b/>
        </w:rPr>
        <w:t xml:space="preserve"> </w:t>
      </w:r>
      <w:r w:rsidRPr="00283636">
        <w:rPr>
          <w:b/>
        </w:rPr>
        <w:t>of Relational Contracts</w:t>
      </w:r>
    </w:p>
    <w:p w:rsidR="00B45FD9" w:rsidRDefault="00A63473" w:rsidP="00B4673B">
      <w:pPr>
        <w:spacing w:line="480" w:lineRule="auto"/>
        <w:ind w:firstLine="720"/>
      </w:pPr>
      <w:r w:rsidRPr="00A63473">
        <w:t>It is difficult to describe the current economic ‘model’</w:t>
      </w:r>
      <w:r>
        <w:t xml:space="preserve"> in coherent terms from either a socialist or a capitalist perspective. </w:t>
      </w:r>
      <w:r w:rsidR="00B760EB">
        <w:t xml:space="preserve"> </w:t>
      </w:r>
      <w:r w:rsidR="009537BB">
        <w:t xml:space="preserve">This is partly the case because there are variants of both systems that would not fit any given characterization or model.  </w:t>
      </w:r>
      <w:r w:rsidR="00B760EB">
        <w:t>For instance, Castañeda (2014) relies on Kornai’s views</w:t>
      </w:r>
      <w:r w:rsidR="009537BB">
        <w:t xml:space="preserve"> (2000) </w:t>
      </w:r>
      <w:r w:rsidR="00B760EB">
        <w:t xml:space="preserve">of both systems (socialist and capitalist) to characterize transitions and finds Cuba’s reform attempts </w:t>
      </w:r>
      <w:r w:rsidR="009537BB">
        <w:t xml:space="preserve">with respect to updating the model </w:t>
      </w:r>
      <w:r w:rsidR="009537BB" w:rsidRPr="00592A12">
        <w:rPr>
          <w:i/>
        </w:rPr>
        <w:t>(actualización</w:t>
      </w:r>
      <w:r w:rsidR="009537BB">
        <w:t xml:space="preserve">) </w:t>
      </w:r>
      <w:r w:rsidR="00B760EB">
        <w:t>lacking.  Mesa-Lago and P</w:t>
      </w:r>
      <w:r w:rsidR="00592A12">
        <w:t>é</w:t>
      </w:r>
      <w:r w:rsidR="00B760EB">
        <w:t>rez-L</w:t>
      </w:r>
      <w:r w:rsidR="00592A12">
        <w:t>ó</w:t>
      </w:r>
      <w:r w:rsidR="00B760EB">
        <w:t>pez (2013, p.196) cite more sympathetic writers  such as Chaguaceda and Centeno  (2011) as</w:t>
      </w:r>
      <w:r w:rsidR="009537BB">
        <w:t xml:space="preserve"> </w:t>
      </w:r>
      <w:r w:rsidR="00B760EB">
        <w:t>noting that the agreements from the</w:t>
      </w:r>
      <w:r w:rsidR="009537BB">
        <w:t xml:space="preserve"> Sixth </w:t>
      </w:r>
      <w:r w:rsidR="00B760EB">
        <w:t xml:space="preserve">Party </w:t>
      </w:r>
      <w:r w:rsidR="009537BB">
        <w:t>C</w:t>
      </w:r>
      <w:r w:rsidR="00B760EB">
        <w:t xml:space="preserve">ongress are silent with respect to the </w:t>
      </w:r>
      <w:r w:rsidR="009537BB">
        <w:t>relative shares of the economy subject to plan and market.</w:t>
      </w:r>
      <w:r>
        <w:t xml:space="preserve"> </w:t>
      </w:r>
      <w:r w:rsidR="009537BB">
        <w:t xml:space="preserve"> </w:t>
      </w:r>
    </w:p>
    <w:p w:rsidR="009900E8" w:rsidRDefault="009537BB" w:rsidP="00B45FD9">
      <w:pPr>
        <w:spacing w:line="480" w:lineRule="auto"/>
        <w:ind w:firstLine="720"/>
      </w:pPr>
      <w:r>
        <w:t xml:space="preserve">Rather than </w:t>
      </w:r>
      <w:r w:rsidR="00B45FD9">
        <w:t>attempting to define an old model and a new one based on the reforms, which seems a futile task</w:t>
      </w:r>
      <w:r w:rsidR="00BF773D">
        <w:t xml:space="preserve"> due to the ambiguity in the use of the term model</w:t>
      </w:r>
      <w:r w:rsidR="00B45FD9">
        <w:t xml:space="preserve">, I propose to characterize the old system as a set of relational contracts and the proposed new system through reforms as </w:t>
      </w:r>
      <w:r w:rsidR="008B4FA3">
        <w:t xml:space="preserve">entailing </w:t>
      </w:r>
      <w:r w:rsidR="00B45FD9">
        <w:t>a new set of relational contracts</w:t>
      </w:r>
      <w:r w:rsidR="008B4FA3">
        <w:t>, which can include</w:t>
      </w:r>
      <w:r w:rsidR="00592A12">
        <w:t>,</w:t>
      </w:r>
      <w:r w:rsidR="008B4FA3">
        <w:t xml:space="preserve"> exclude or modify previous ones.</w:t>
      </w:r>
      <w:r w:rsidR="00B45FD9">
        <w:t xml:space="preserve">  Armed with these ideas I will then try to explore the usefulness of this view in understanding the reforms we have identified as attempts to update the model.  My </w:t>
      </w:r>
      <w:r w:rsidR="008B4FA3">
        <w:t xml:space="preserve">main </w:t>
      </w:r>
      <w:r w:rsidR="00B45FD9">
        <w:t xml:space="preserve">argument is that these </w:t>
      </w:r>
      <w:r w:rsidR="008B4FA3">
        <w:t xml:space="preserve">reforms </w:t>
      </w:r>
      <w:r w:rsidR="00B45FD9">
        <w:t xml:space="preserve">are far less perplexing from this perspective than from the alternative </w:t>
      </w:r>
      <w:r w:rsidR="008B4FA3">
        <w:t xml:space="preserve">perspectives </w:t>
      </w:r>
      <w:r w:rsidR="00B45FD9">
        <w:t>mentioned above.</w:t>
      </w:r>
      <w:r w:rsidR="002C68C9">
        <w:t xml:space="preserve">  Before addressing the practical issues, however, it is useful to be precise about the conceptual ones.</w:t>
      </w:r>
    </w:p>
    <w:p w:rsidR="00FB5175" w:rsidRDefault="002C68C9" w:rsidP="00B45FD9">
      <w:pPr>
        <w:spacing w:line="480" w:lineRule="auto"/>
        <w:ind w:firstLine="720"/>
      </w:pPr>
      <w:r>
        <w:t xml:space="preserve">What are relational contracts? These contracts </w:t>
      </w:r>
      <w:r w:rsidR="00CF476B">
        <w:t xml:space="preserve">can be viewed for our purpose as falling into two categories: </w:t>
      </w:r>
      <w:r w:rsidR="00592A12">
        <w:t>n</w:t>
      </w:r>
      <w:r w:rsidR="00CF476B">
        <w:t xml:space="preserve">arrow and </w:t>
      </w:r>
      <w:r w:rsidR="00592A12">
        <w:t>b</w:t>
      </w:r>
      <w:r w:rsidR="00CF476B">
        <w:t>road</w:t>
      </w:r>
      <w:r>
        <w:t xml:space="preserve">. Narrow relational contracts are a concept </w:t>
      </w:r>
      <w:r w:rsidR="00592A12">
        <w:t xml:space="preserve">that stems from </w:t>
      </w:r>
      <w:r>
        <w:t xml:space="preserve">the industrial organization literature.  </w:t>
      </w:r>
      <w:r w:rsidR="0005591C">
        <w:t xml:space="preserve">A seminal paper by Baker Gibbons and Murphy (2002) describes them as informal agreements and unwritten codes </w:t>
      </w:r>
      <w:r w:rsidR="002D2A0F">
        <w:t xml:space="preserve">of </w:t>
      </w:r>
      <w:r w:rsidR="0005591C">
        <w:t>conduct that powerfully affect behavior both within and between firms. The</w:t>
      </w:r>
      <w:r w:rsidR="004B6BA6">
        <w:t xml:space="preserve"> authors r</w:t>
      </w:r>
      <w:r w:rsidR="0005591C">
        <w:t>ely on game theory to differentiate the ones that underlie vertical integration (within firms) from the ones that underlie horizontal relations or connections between firms in term</w:t>
      </w:r>
      <w:r w:rsidR="00F123C9">
        <w:t>s</w:t>
      </w:r>
      <w:r w:rsidR="0005591C">
        <w:t xml:space="preserve"> of supply chains, alliances or networks.  </w:t>
      </w:r>
    </w:p>
    <w:p w:rsidR="002C68C9" w:rsidRPr="00592A12" w:rsidRDefault="00FB5175" w:rsidP="00B45FD9">
      <w:pPr>
        <w:spacing w:line="480" w:lineRule="auto"/>
        <w:ind w:firstLine="720"/>
        <w:rPr>
          <w:i/>
        </w:rPr>
      </w:pPr>
      <w:r>
        <w:t xml:space="preserve">Narrow relational </w:t>
      </w:r>
      <w:r w:rsidR="0005591C">
        <w:t xml:space="preserve">contracts help circumvent difficulties in formal contracting when </w:t>
      </w:r>
      <w:r w:rsidR="00202072">
        <w:t xml:space="preserve">enforcement </w:t>
      </w:r>
      <w:r w:rsidR="0005591C">
        <w:t>through an impartial third party</w:t>
      </w:r>
      <w:r w:rsidR="00202072">
        <w:t xml:space="preserve"> is not feasible or</w:t>
      </w:r>
      <w:r>
        <w:t xml:space="preserve"> is </w:t>
      </w:r>
      <w:r w:rsidR="00202072">
        <w:t>too costly.  This can</w:t>
      </w:r>
      <w:r w:rsidR="0005591C">
        <w:t xml:space="preserve"> </w:t>
      </w:r>
      <w:r>
        <w:t>happen for a broad variety of reasons, ranging from absence of the rule of law to high costs of enforcement and other forms of transaction costs.  For instance, verifiability may be impossible due the existence of large amounts of private information or unfores</w:t>
      </w:r>
      <w:r w:rsidR="005E6D21">
        <w:t>e</w:t>
      </w:r>
      <w:r>
        <w:t xml:space="preserve">eable contingencies in determining </w:t>
      </w:r>
      <w:r w:rsidR="00F17289">
        <w:t xml:space="preserve">responsibility for </w:t>
      </w:r>
      <w:r>
        <w:t>contract outcomes.</w:t>
      </w:r>
      <w:r w:rsidR="0005591C">
        <w:t xml:space="preserve">  </w:t>
      </w:r>
      <w:r w:rsidR="005E6D21">
        <w:t>These contracts have become</w:t>
      </w:r>
      <w:r w:rsidR="0005591C">
        <w:t xml:space="preserve"> a standard concept in the modern literature on the theory of the firm</w:t>
      </w:r>
      <w:r w:rsidR="00CF476B">
        <w:t xml:space="preserve">. </w:t>
      </w:r>
      <w:r>
        <w:t xml:space="preserve"> </w:t>
      </w:r>
      <w:r w:rsidR="005E6D21">
        <w:t xml:space="preserve">They even </w:t>
      </w:r>
      <w:r w:rsidR="00CF476B">
        <w:t>ha</w:t>
      </w:r>
      <w:r w:rsidR="005E6D21">
        <w:t>ve an</w:t>
      </w:r>
      <w:r w:rsidR="00CF476B">
        <w:t xml:space="preserve"> own chapter, “Relational Incentive Contracts”</w:t>
      </w:r>
      <w:r w:rsidR="00F17289">
        <w:t>, in</w:t>
      </w:r>
      <w:r w:rsidR="00CF476B">
        <w:t xml:space="preserve"> Gibbons and Roberts (2013) </w:t>
      </w:r>
      <w:r w:rsidR="00F17289" w:rsidRPr="00592A12">
        <w:rPr>
          <w:i/>
        </w:rPr>
        <w:t xml:space="preserve">The </w:t>
      </w:r>
      <w:r w:rsidR="00CF476B" w:rsidRPr="00592A12">
        <w:rPr>
          <w:i/>
        </w:rPr>
        <w:t>Handbook of Organizational Economics.</w:t>
      </w:r>
      <w:r w:rsidR="0005591C" w:rsidRPr="00592A12">
        <w:rPr>
          <w:i/>
        </w:rPr>
        <w:t xml:space="preserve"> </w:t>
      </w:r>
    </w:p>
    <w:p w:rsidR="007633CE" w:rsidRDefault="00CF476B" w:rsidP="00B9380D">
      <w:pPr>
        <w:spacing w:line="480" w:lineRule="auto"/>
        <w:ind w:firstLine="720"/>
      </w:pPr>
      <w:r>
        <w:t>B</w:t>
      </w:r>
      <w:r w:rsidR="00A355BA">
        <w:t>road relational contracts are harder to describe in n</w:t>
      </w:r>
      <w:r w:rsidR="008C2E33">
        <w:t>eat</w:t>
      </w:r>
      <w:r w:rsidR="00A355BA">
        <w:t xml:space="preserve"> and tidy terms but they apply similar </w:t>
      </w:r>
      <w:r w:rsidR="008C2E33">
        <w:t xml:space="preserve">considerations </w:t>
      </w:r>
      <w:r w:rsidR="00A355BA">
        <w:t xml:space="preserve">to interactions between </w:t>
      </w:r>
      <w:r w:rsidR="00BF773D">
        <w:t xml:space="preserve">institutions, </w:t>
      </w:r>
      <w:r w:rsidR="00A355BA">
        <w:t>other organizatio</w:t>
      </w:r>
      <w:r w:rsidR="008C2E33">
        <w:t xml:space="preserve">ns </w:t>
      </w:r>
      <w:r w:rsidR="00A355BA">
        <w:t>and economic agents.</w:t>
      </w:r>
      <w:r w:rsidR="008C2E33">
        <w:t xml:space="preserve">  Indeed, the last two chapters of the </w:t>
      </w:r>
      <w:r w:rsidR="00592A12">
        <w:t xml:space="preserve">mentioned </w:t>
      </w:r>
      <w:r w:rsidR="008C2E33" w:rsidRPr="00592A12">
        <w:rPr>
          <w:i/>
        </w:rPr>
        <w:t>Handbook</w:t>
      </w:r>
      <w:r w:rsidR="008C2E33">
        <w:t xml:space="preserve"> are included in a part titled “Beyond Firms</w:t>
      </w:r>
      <w:r w:rsidR="0097078C">
        <w:t>.</w:t>
      </w:r>
      <w:r w:rsidR="008C2E33">
        <w:t>”</w:t>
      </w:r>
      <w:r w:rsidR="0097078C">
        <w:t xml:space="preserve"> </w:t>
      </w:r>
      <w:r w:rsidR="008C2E33">
        <w:t xml:space="preserve"> One of the chapters is on corruption and the other </w:t>
      </w:r>
      <w:r w:rsidR="00FB5175">
        <w:t>on</w:t>
      </w:r>
      <w:r w:rsidR="008C2E33">
        <w:t xml:space="preserve"> </w:t>
      </w:r>
      <w:r w:rsidR="0083378C">
        <w:t>“</w:t>
      </w:r>
      <w:r w:rsidR="008C2E33">
        <w:t>Delegation</w:t>
      </w:r>
      <w:r w:rsidR="0083378C">
        <w:t>,</w:t>
      </w:r>
      <w:r w:rsidR="008C2E33">
        <w:t xml:space="preserve"> Control </w:t>
      </w:r>
      <w:r w:rsidR="0083378C">
        <w:t xml:space="preserve">and the Study of </w:t>
      </w:r>
      <w:r w:rsidR="008C2E33">
        <w:t>Public Bureaucracy.</w:t>
      </w:r>
      <w:r w:rsidR="0083378C">
        <w:t>” More generally the Wikipedia definition of relational contracts</w:t>
      </w:r>
      <w:r w:rsidR="00832796">
        <w:t>,</w:t>
      </w:r>
      <w:r w:rsidR="0083378C">
        <w:t xml:space="preserve"> </w:t>
      </w:r>
      <w:r w:rsidR="00412D36">
        <w:t>which stresses a legal perspective</w:t>
      </w:r>
      <w:r w:rsidR="00F123C9">
        <w:t>,</w:t>
      </w:r>
      <w:r w:rsidR="00412D36">
        <w:t xml:space="preserve"> view</w:t>
      </w:r>
      <w:r w:rsidR="00F123C9">
        <w:t>s</w:t>
      </w:r>
      <w:r w:rsidR="00412D36">
        <w:t xml:space="preserve"> contracts as relations rather than discrete transactions</w:t>
      </w:r>
      <w:r w:rsidR="00F123C9">
        <w:t>. It argues</w:t>
      </w:r>
      <w:r w:rsidR="00412D36">
        <w:t xml:space="preserve"> “Thus, even a simple transaction can properly be understood as involving a wider social and economic context.” We will take this broad view to describe the relations between a government and its citizens</w:t>
      </w:r>
      <w:r w:rsidR="00FB5175">
        <w:t>,</w:t>
      </w:r>
      <w:r w:rsidR="00412D36">
        <w:t xml:space="preserve"> </w:t>
      </w:r>
      <w:r w:rsidR="00F17289">
        <w:t xml:space="preserve">among </w:t>
      </w:r>
      <w:r w:rsidR="00412D36">
        <w:t xml:space="preserve">governments </w:t>
      </w:r>
      <w:r w:rsidR="00FB5175">
        <w:t xml:space="preserve">and </w:t>
      </w:r>
      <w:r w:rsidR="00412D36">
        <w:t>between governments and other organizations,</w:t>
      </w:r>
      <w:r w:rsidR="00FB5175">
        <w:t xml:space="preserve"> e.g., </w:t>
      </w:r>
      <w:r w:rsidR="00412D36">
        <w:t>firms</w:t>
      </w:r>
      <w:r w:rsidR="00FB5175">
        <w:t>,</w:t>
      </w:r>
      <w:r w:rsidR="00412D36">
        <w:t xml:space="preserve"> state</w:t>
      </w:r>
      <w:r w:rsidR="0097078C">
        <w:t>-</w:t>
      </w:r>
      <w:r w:rsidR="00412D36">
        <w:t xml:space="preserve">owned enterprises </w:t>
      </w:r>
      <w:r w:rsidR="00FB5175">
        <w:t>(SOE) either</w:t>
      </w:r>
      <w:r w:rsidR="00412D36">
        <w:t xml:space="preserve"> domestic or foreign. </w:t>
      </w:r>
      <w:r w:rsidR="00FB5175">
        <w:t>It also includes relations between combinations of these agents.</w:t>
      </w:r>
    </w:p>
    <w:p w:rsidR="006F5F83" w:rsidRDefault="007633CE" w:rsidP="00B9380D">
      <w:pPr>
        <w:spacing w:line="480" w:lineRule="auto"/>
        <w:ind w:firstLine="720"/>
      </w:pPr>
      <w:r>
        <w:t>O</w:t>
      </w:r>
      <w:r w:rsidR="006F5F83">
        <w:t xml:space="preserve">ur wide </w:t>
      </w:r>
      <w:r w:rsidR="00412D36">
        <w:t xml:space="preserve">extension </w:t>
      </w:r>
      <w:r w:rsidR="00832796">
        <w:t xml:space="preserve">of the concept is </w:t>
      </w:r>
      <w:r w:rsidR="00F17289">
        <w:t xml:space="preserve">somewhat </w:t>
      </w:r>
      <w:r w:rsidR="00832796">
        <w:t xml:space="preserve">novel but it makes sense </w:t>
      </w:r>
      <w:r w:rsidR="006F5F83">
        <w:t xml:space="preserve">when </w:t>
      </w:r>
      <w:r w:rsidR="00412D36">
        <w:t>there are many unstated expectations about the behavior of the parties</w:t>
      </w:r>
      <w:r w:rsidR="00832796">
        <w:t>,</w:t>
      </w:r>
      <w:r w:rsidR="00412D36">
        <w:t xml:space="preserve"> a presumption of a continuing relationship between the parties involved</w:t>
      </w:r>
      <w:r w:rsidR="0097078C">
        <w:t>,</w:t>
      </w:r>
      <w:r w:rsidR="00832796">
        <w:t xml:space="preserve"> and no formal enforcement mechanism that can be reasonably provided by an impartial third party</w:t>
      </w:r>
      <w:r w:rsidR="00412D36">
        <w:t xml:space="preserve">. </w:t>
      </w:r>
      <w:r w:rsidR="00832796">
        <w:t xml:space="preserve"> </w:t>
      </w:r>
      <w:r w:rsidR="00B15EB0">
        <w:t>These are the same conditions that underlie the rational</w:t>
      </w:r>
      <w:r w:rsidR="004141A1">
        <w:t>e</w:t>
      </w:r>
      <w:r w:rsidR="00B15EB0">
        <w:t xml:space="preserve"> for narrow relational contracts. </w:t>
      </w:r>
      <w:r w:rsidR="0097078C">
        <w:t xml:space="preserve"> </w:t>
      </w:r>
      <w:r w:rsidR="00832796">
        <w:t>The weakness in th</w:t>
      </w:r>
      <w:r w:rsidR="006F5F83">
        <w:t xml:space="preserve">is </w:t>
      </w:r>
      <w:r w:rsidR="00832796">
        <w:t xml:space="preserve">broad definition relative to the narrow one is that the logic of a self-enforcement mechanism consistent with the equilibrium of a game defined in terms of pay-offs to the </w:t>
      </w:r>
      <w:r w:rsidR="00F123C9">
        <w:t>agents</w:t>
      </w:r>
      <w:r w:rsidR="00832796">
        <w:t xml:space="preserve"> subject to constraints of various types is much more difficult to apply in </w:t>
      </w:r>
      <w:r w:rsidR="0097078C">
        <w:t>a</w:t>
      </w:r>
      <w:r w:rsidR="00832796">
        <w:t xml:space="preserve"> broad setting. </w:t>
      </w:r>
      <w:r w:rsidR="00B15EB0">
        <w:t xml:space="preserve"> </w:t>
      </w:r>
      <w:r w:rsidR="006F5F83">
        <w:t xml:space="preserve">Notwithstanding, a similar objection can be made to recent applications of relational contracting in a different setting.  For instance, Barron’s (2014) analysis of the impact of labor market institutions on unemployment insurance and trade. </w:t>
      </w:r>
    </w:p>
    <w:p w:rsidR="00B9380D" w:rsidRDefault="00B9380D" w:rsidP="00B9380D">
      <w:pPr>
        <w:spacing w:line="480" w:lineRule="auto"/>
        <w:ind w:firstLine="720"/>
      </w:pPr>
      <w:r>
        <w:t>Attractive feature</w:t>
      </w:r>
      <w:r w:rsidR="00C75000">
        <w:t>s</w:t>
      </w:r>
      <w:r>
        <w:t xml:space="preserve"> of both narrow and broad relational contracts </w:t>
      </w:r>
      <w:r w:rsidR="00C75000">
        <w:t>are:</w:t>
      </w:r>
      <w:r>
        <w:t xml:space="preserve"> they can improve or lower welfare of the participating parties</w:t>
      </w:r>
      <w:r w:rsidR="00C75000">
        <w:t>; and</w:t>
      </w:r>
      <w:r>
        <w:t xml:space="preserve"> the</w:t>
      </w:r>
      <w:r w:rsidR="00C75000">
        <w:t>ir</w:t>
      </w:r>
      <w:r>
        <w:t xml:space="preserve"> self-enforcement </w:t>
      </w:r>
      <w:r w:rsidR="00C75000">
        <w:t xml:space="preserve">feature </w:t>
      </w:r>
      <w:r>
        <w:t>suggest</w:t>
      </w:r>
      <w:r w:rsidR="00C75000">
        <w:t>s</w:t>
      </w:r>
      <w:r>
        <w:t xml:space="preserve"> </w:t>
      </w:r>
      <w:r w:rsidR="00C75000">
        <w:t>that</w:t>
      </w:r>
      <w:r>
        <w:t xml:space="preserve"> breakdowns in the conditions for their sustainability </w:t>
      </w:r>
      <w:r w:rsidR="00C75000">
        <w:t xml:space="preserve">over time are not only possible but probable.  </w:t>
      </w:r>
      <w:r>
        <w:t xml:space="preserve">With this perspective in mind </w:t>
      </w:r>
      <w:r w:rsidR="0097078C">
        <w:t>we</w:t>
      </w:r>
      <w:r>
        <w:t xml:space="preserve"> can now begin </w:t>
      </w:r>
      <w:r w:rsidR="002B1C1A">
        <w:t>t</w:t>
      </w:r>
      <w:r>
        <w:t>o consider some of the relational contra</w:t>
      </w:r>
      <w:r w:rsidR="002B1C1A">
        <w:t xml:space="preserve">cts between the state and its citizens </w:t>
      </w:r>
      <w:r>
        <w:t>associated with updating of the</w:t>
      </w:r>
      <w:r w:rsidR="0097078C">
        <w:t xml:space="preserve"> Cuban </w:t>
      </w:r>
      <w:r>
        <w:t xml:space="preserve">model. </w:t>
      </w:r>
      <w:r w:rsidR="00C75000">
        <w:t xml:space="preserve"> T</w:t>
      </w:r>
      <w:r>
        <w:t>wo obvious ones that have been</w:t>
      </w:r>
      <w:r w:rsidR="002B1C1A">
        <w:t xml:space="preserve"> unilaterally </w:t>
      </w:r>
      <w:r>
        <w:t>renegotiated</w:t>
      </w:r>
      <w:r w:rsidR="002B1C1A">
        <w:t xml:space="preserve"> by the </w:t>
      </w:r>
      <w:r w:rsidR="00C75000">
        <w:t xml:space="preserve">Cuban </w:t>
      </w:r>
      <w:r w:rsidR="002B1C1A">
        <w:t>state</w:t>
      </w:r>
      <w:r w:rsidR="00C75000">
        <w:t xml:space="preserve"> are</w:t>
      </w:r>
      <w:r w:rsidR="002B1C1A">
        <w:t xml:space="preserve">: the rationing system and the dismissal of state workers. </w:t>
      </w:r>
    </w:p>
    <w:p w:rsidR="00096B6A" w:rsidRDefault="002B1C1A" w:rsidP="00B9380D">
      <w:pPr>
        <w:spacing w:line="480" w:lineRule="auto"/>
        <w:ind w:firstLine="720"/>
      </w:pPr>
      <w:r>
        <w:t xml:space="preserve">Over </w:t>
      </w:r>
      <w:r w:rsidR="0097078C">
        <w:t xml:space="preserve">at least </w:t>
      </w:r>
      <w:r>
        <w:t xml:space="preserve">the last twenty years Mesa-Lago has </w:t>
      </w:r>
      <w:r w:rsidR="00F17289">
        <w:t>often described</w:t>
      </w:r>
      <w:r>
        <w:t xml:space="preserve"> how much of the monthly ration promised to Cuban citizens has not been actually delivered to these citizens</w:t>
      </w:r>
      <w:r w:rsidR="00DA284D">
        <w:t xml:space="preserve">. Most recently </w:t>
      </w:r>
      <w:r w:rsidR="00FD520B">
        <w:t xml:space="preserve">Rios (2014) </w:t>
      </w:r>
      <w:r w:rsidR="00F17289">
        <w:t>look</w:t>
      </w:r>
      <w:r w:rsidR="0097078C">
        <w:t>ed</w:t>
      </w:r>
      <w:r w:rsidR="00F17289">
        <w:t xml:space="preserve"> at this issue and conclude</w:t>
      </w:r>
      <w:r w:rsidR="0097078C">
        <w:t>d</w:t>
      </w:r>
      <w:r w:rsidR="00F17289">
        <w:t xml:space="preserve"> </w:t>
      </w:r>
      <w:r w:rsidR="00DA284D">
        <w:t xml:space="preserve">that </w:t>
      </w:r>
      <w:r w:rsidR="00FD520B">
        <w:t xml:space="preserve">the ration provides only one to two weeks of the </w:t>
      </w:r>
      <w:r w:rsidR="00DA284D">
        <w:t xml:space="preserve">allotted </w:t>
      </w:r>
      <w:r w:rsidR="00FD520B">
        <w:t>monthly amount.  This is part of a relational contract between Cuban citizens and the Cuban state that has survived since 1962</w:t>
      </w:r>
      <w:r w:rsidR="00096B6A">
        <w:t xml:space="preserve">.  It is now </w:t>
      </w:r>
      <w:r w:rsidR="00FD520B">
        <w:t>in the process of being unilaterally renegotiated or realigned by the Cuban state.  In simple terms the Cuban state can’t meet this obligation and is, there</w:t>
      </w:r>
      <w:r w:rsidR="0097078C">
        <w:t>fore</w:t>
      </w:r>
      <w:r w:rsidR="00FD520B">
        <w:t xml:space="preserve">, </w:t>
      </w:r>
      <w:r w:rsidR="00096B6A">
        <w:t xml:space="preserve">publicly </w:t>
      </w:r>
      <w:r w:rsidR="00FD520B">
        <w:t xml:space="preserve">renouncing the obligation </w:t>
      </w:r>
      <w:r w:rsidR="0097078C">
        <w:t xml:space="preserve">to its citizens </w:t>
      </w:r>
      <w:r w:rsidR="00FD520B">
        <w:t xml:space="preserve">in this relational contract through the reform process.  </w:t>
      </w:r>
    </w:p>
    <w:p w:rsidR="008B2381" w:rsidRDefault="00096B6A" w:rsidP="00B9380D">
      <w:pPr>
        <w:spacing w:line="480" w:lineRule="auto"/>
        <w:ind w:firstLine="720"/>
      </w:pPr>
      <w:r>
        <w:t xml:space="preserve">Similarly, the Cuban state can’t afford for fiscal reasons to employ everyone regardless of their productivity.  Hence, the dismissal of state workers </w:t>
      </w:r>
      <w:r w:rsidR="009C59FC">
        <w:t>i</w:t>
      </w:r>
      <w:r>
        <w:t xml:space="preserve">s a </w:t>
      </w:r>
      <w:r w:rsidR="009C59FC">
        <w:t xml:space="preserve">unilateral renegotiation of a relational contract between the Cuban state and its citizens, </w:t>
      </w:r>
      <w:r>
        <w:t>publicly announc</w:t>
      </w:r>
      <w:r w:rsidR="009C59FC">
        <w:t xml:space="preserve">ed as a reform, which renounces a standard </w:t>
      </w:r>
      <w:r>
        <w:t xml:space="preserve">obligation to its citizens </w:t>
      </w:r>
      <w:r w:rsidR="0097078C">
        <w:t xml:space="preserve">– full employment-- </w:t>
      </w:r>
      <w:r>
        <w:t xml:space="preserve">embedded in </w:t>
      </w:r>
      <w:r w:rsidR="009C59FC">
        <w:t xml:space="preserve">any typical </w:t>
      </w:r>
      <w:r>
        <w:t>communist state</w:t>
      </w:r>
      <w:r w:rsidR="009C59FC">
        <w:t>.</w:t>
      </w:r>
      <w:r>
        <w:t xml:space="preserve">  The obligation is so standard in communist systems that it has become part of folklore on how communist and capitalist systems deal with uncertainty.  </w:t>
      </w:r>
      <w:r w:rsidR="008B2381">
        <w:t xml:space="preserve">That is, it </w:t>
      </w:r>
      <w:r>
        <w:t>has been argued</w:t>
      </w:r>
      <w:r w:rsidR="006F5F83">
        <w:t>,</w:t>
      </w:r>
      <w:r>
        <w:t xml:space="preserve"> </w:t>
      </w:r>
      <w:r w:rsidR="008B2381">
        <w:t>somewhat in jest</w:t>
      </w:r>
      <w:r w:rsidR="006F5F83">
        <w:t>,</w:t>
      </w:r>
      <w:r w:rsidR="008B2381">
        <w:t xml:space="preserve"> </w:t>
      </w:r>
      <w:r>
        <w:t>that the main difference between capitalism and communism is where you stand in line</w:t>
      </w:r>
      <w:r w:rsidR="00892817">
        <w:t>: at the unemployment office or at the store, respectively.</w:t>
      </w:r>
      <w:r w:rsidR="009C59FC">
        <w:t xml:space="preserve">  The Cuban government’s justification for this reform in terms of productivity can also be characterized</w:t>
      </w:r>
      <w:r w:rsidR="008E6A99">
        <w:t xml:space="preserve"> in jocular terms </w:t>
      </w:r>
      <w:r w:rsidR="006F5F83">
        <w:t xml:space="preserve">as an indictment of their </w:t>
      </w:r>
      <w:r w:rsidR="009C59FC">
        <w:t>incentive system</w:t>
      </w:r>
      <w:r w:rsidR="00892817">
        <w:t xml:space="preserve"> summarized by the following </w:t>
      </w:r>
      <w:r w:rsidR="008E6A99">
        <w:t>saying</w:t>
      </w:r>
      <w:r w:rsidR="00337ACF">
        <w:t xml:space="preserve"> </w:t>
      </w:r>
      <w:r w:rsidR="009C59FC">
        <w:t xml:space="preserve">“They pretend to pay me and I pretend to work.”  </w:t>
      </w:r>
    </w:p>
    <w:p w:rsidR="00337ACF" w:rsidRDefault="008B2381" w:rsidP="00B9380D">
      <w:pPr>
        <w:spacing w:line="480" w:lineRule="auto"/>
        <w:ind w:firstLine="720"/>
      </w:pPr>
      <w:r>
        <w:t xml:space="preserve">Since citizens are supposed to have access to means for attaining a minimum standard of living, </w:t>
      </w:r>
      <w:r w:rsidR="00085BF3">
        <w:t>the</w:t>
      </w:r>
      <w:r w:rsidR="00337ACF">
        <w:t>se two reforms require new or modifications of existing relational contracts to fulfill needs previously provided by</w:t>
      </w:r>
      <w:r w:rsidR="00085BF3">
        <w:t xml:space="preserve"> </w:t>
      </w:r>
      <w:r w:rsidR="004273FD">
        <w:t xml:space="preserve">adequate rations and </w:t>
      </w:r>
      <w:r w:rsidR="00085BF3">
        <w:t>assured state employment</w:t>
      </w:r>
      <w:r w:rsidR="004273FD">
        <w:t>.</w:t>
      </w:r>
      <w:r>
        <w:t xml:space="preserve"> </w:t>
      </w:r>
      <w:r w:rsidR="00085BF3">
        <w:t xml:space="preserve"> </w:t>
      </w:r>
      <w:r>
        <w:t xml:space="preserve">Part of the updating of the model is </w:t>
      </w:r>
      <w:r w:rsidR="00337ACF">
        <w:t xml:space="preserve">through </w:t>
      </w:r>
      <w:r>
        <w:t xml:space="preserve">changes in other relational contracts that make </w:t>
      </w:r>
      <w:r w:rsidR="00337ACF">
        <w:t xml:space="preserve">jobs, which satisfy these needs, </w:t>
      </w:r>
      <w:r>
        <w:t xml:space="preserve">more available to the population. </w:t>
      </w:r>
      <w:r w:rsidR="00337ACF">
        <w:t xml:space="preserve"> For instance, </w:t>
      </w:r>
      <w:r>
        <w:t>self-employment occupations are expanded from the 150+ specified</w:t>
      </w:r>
      <w:r w:rsidR="00892817">
        <w:t xml:space="preserve"> in the last decade </w:t>
      </w:r>
      <w:r w:rsidR="00085BF3">
        <w:t>o</w:t>
      </w:r>
      <w:r>
        <w:t>f the 20</w:t>
      </w:r>
      <w:r w:rsidRPr="008B2381">
        <w:rPr>
          <w:vertAlign w:val="superscript"/>
        </w:rPr>
        <w:t>th</w:t>
      </w:r>
      <w:r>
        <w:t xml:space="preserve"> century to the 200+ specified during the current decade</w:t>
      </w:r>
      <w:r w:rsidR="00892817">
        <w:t xml:space="preserve">.  Similarly, </w:t>
      </w:r>
      <w:r>
        <w:t xml:space="preserve">limits on </w:t>
      </w:r>
      <w:r w:rsidR="004273FD">
        <w:t>numbers of customers</w:t>
      </w:r>
      <w:r>
        <w:t xml:space="preserve"> and </w:t>
      </w:r>
      <w:r w:rsidR="004273FD">
        <w:t xml:space="preserve">on </w:t>
      </w:r>
      <w:r>
        <w:t>hiring in</w:t>
      </w:r>
      <w:r w:rsidR="00337ACF">
        <w:t xml:space="preserve"> a self-employment activity such as</w:t>
      </w:r>
      <w:r>
        <w:t xml:space="preserve"> restaurants </w:t>
      </w:r>
      <w:r w:rsidR="004273FD">
        <w:t xml:space="preserve">have been </w:t>
      </w:r>
      <w:r>
        <w:t xml:space="preserve"> relaxed</w:t>
      </w:r>
      <w:r w:rsidR="00337ACF">
        <w:t xml:space="preserve"> although not eliminated</w:t>
      </w:r>
      <w:r>
        <w:t>.</w:t>
      </w:r>
      <w:r w:rsidR="00085BF3">
        <w:t xml:space="preserve">   </w:t>
      </w:r>
    </w:p>
    <w:p w:rsidR="002B1C1A" w:rsidRDefault="00085BF3" w:rsidP="00B9380D">
      <w:pPr>
        <w:spacing w:line="480" w:lineRule="auto"/>
        <w:ind w:firstLine="720"/>
      </w:pPr>
      <w:r>
        <w:t>Of course, since the state wants to preserve the benefits of other relational contracts</w:t>
      </w:r>
      <w:r w:rsidR="004273FD">
        <w:t>,</w:t>
      </w:r>
      <w:r>
        <w:t xml:space="preserve"> new limits on some self-employment occupations are imposed as the need arises</w:t>
      </w:r>
      <w:r w:rsidR="00892817">
        <w:t xml:space="preserve"> due to conflicting objectives.</w:t>
      </w:r>
      <w:r>
        <w:t xml:space="preserve">  For instance, seamstresses were forbidden to resell </w:t>
      </w:r>
      <w:r w:rsidR="004273FD">
        <w:t xml:space="preserve">clothing items </w:t>
      </w:r>
      <w:r>
        <w:t>as part of their activities in October of 2013.  Their ability to do that on a substantial scale was made feasible by the new immigration law</w:t>
      </w:r>
      <w:r w:rsidR="004273FD">
        <w:t>, which allows them</w:t>
      </w:r>
      <w:r>
        <w:t xml:space="preserve"> or others to visit the US frequently since January 2013</w:t>
      </w:r>
      <w:r w:rsidR="00E429A6">
        <w:t>.</w:t>
      </w:r>
      <w:r>
        <w:t xml:space="preserve"> </w:t>
      </w:r>
      <w:r w:rsidR="004273FD">
        <w:t xml:space="preserve"> </w:t>
      </w:r>
      <w:r w:rsidR="00892817">
        <w:t>By t</w:t>
      </w:r>
      <w:r w:rsidR="00E429A6">
        <w:t>aking advantage of these arbitrage opportunities</w:t>
      </w:r>
      <w:r w:rsidR="00892817">
        <w:t xml:space="preserve">, they </w:t>
      </w:r>
      <w:r>
        <w:t>significantly lower</w:t>
      </w:r>
      <w:r w:rsidR="00E429A6">
        <w:t>ed</w:t>
      </w:r>
      <w:r>
        <w:t xml:space="preserve"> the profits </w:t>
      </w:r>
      <w:r w:rsidR="00E429A6">
        <w:t>of the</w:t>
      </w:r>
      <w:r>
        <w:t xml:space="preserve"> 240% mark-ups </w:t>
      </w:r>
      <w:r w:rsidR="004273FD">
        <w:t>of</w:t>
      </w:r>
      <w:r>
        <w:t xml:space="preserve"> the government</w:t>
      </w:r>
      <w:r w:rsidR="004273FD">
        <w:t>-</w:t>
      </w:r>
      <w:r>
        <w:t xml:space="preserve">operated dollar stores.  </w:t>
      </w:r>
      <w:r w:rsidR="002B1C1A">
        <w:t xml:space="preserve"> </w:t>
      </w:r>
      <w:r w:rsidR="00E429A6">
        <w:t>Thus, this aspect of the broad relational contract between the state and this segment of its self-employed citizens was modified</w:t>
      </w:r>
      <w:r w:rsidR="00892817">
        <w:t xml:space="preserve">, ex-post, to maintain or restore </w:t>
      </w:r>
      <w:r w:rsidR="00E429A6">
        <w:t xml:space="preserve">the </w:t>
      </w:r>
      <w:r w:rsidR="00892817">
        <w:t xml:space="preserve">ex-ante </w:t>
      </w:r>
      <w:r w:rsidR="00E429A6">
        <w:t>benefit</w:t>
      </w:r>
      <w:r w:rsidR="00892817">
        <w:t>s</w:t>
      </w:r>
      <w:r w:rsidR="00E429A6">
        <w:t xml:space="preserve"> of th</w:t>
      </w:r>
      <w:r w:rsidR="00892817">
        <w:t xml:space="preserve">ose </w:t>
      </w:r>
      <w:r w:rsidR="00E429A6">
        <w:t>setting the contract terms</w:t>
      </w:r>
      <w:r w:rsidR="00892817">
        <w:t xml:space="preserve"> through the government</w:t>
      </w:r>
      <w:r w:rsidR="004273FD">
        <w:t>-</w:t>
      </w:r>
      <w:r w:rsidR="00892817">
        <w:t>operated dollar stores</w:t>
      </w:r>
      <w:r w:rsidR="00E429A6">
        <w:t>.</w:t>
      </w:r>
    </w:p>
    <w:p w:rsidR="00E8713B" w:rsidRDefault="00E429A6" w:rsidP="00B9380D">
      <w:pPr>
        <w:spacing w:line="480" w:lineRule="auto"/>
        <w:ind w:firstLine="720"/>
      </w:pPr>
      <w:r>
        <w:t xml:space="preserve">Other broad relational contracts </w:t>
      </w:r>
      <w:r w:rsidR="004273FD">
        <w:t xml:space="preserve">have been </w:t>
      </w:r>
      <w:r w:rsidR="00337ACF">
        <w:t xml:space="preserve">modified </w:t>
      </w:r>
      <w:r>
        <w:t xml:space="preserve">to </w:t>
      </w:r>
      <w:r w:rsidR="00337ACF">
        <w:t xml:space="preserve">increase </w:t>
      </w:r>
      <w:r>
        <w:t>employment through the reforms</w:t>
      </w:r>
      <w:r w:rsidR="00337ACF">
        <w:t xml:space="preserve">.  For instance, </w:t>
      </w:r>
      <w:r>
        <w:t>foreign direct investment contracts</w:t>
      </w:r>
      <w:r w:rsidR="00FF1445">
        <w:t>,</w:t>
      </w:r>
      <w:r>
        <w:t xml:space="preserve"> discussed earlier</w:t>
      </w:r>
      <w:r w:rsidR="00E235E8">
        <w:t>,</w:t>
      </w:r>
      <w:r>
        <w:t xml:space="preserve"> </w:t>
      </w:r>
      <w:r w:rsidR="008827B9">
        <w:t>are expected to increase in</w:t>
      </w:r>
      <w:r>
        <w:t xml:space="preserve"> number</w:t>
      </w:r>
      <w:r w:rsidR="008827B9">
        <w:t>s</w:t>
      </w:r>
      <w:r>
        <w:t xml:space="preserve"> as a result of a</w:t>
      </w:r>
      <w:r w:rsidR="004E7435">
        <w:t>pproval of a</w:t>
      </w:r>
      <w:r>
        <w:t xml:space="preserve"> new foreign investment law announced </w:t>
      </w:r>
      <w:r w:rsidR="004E7435">
        <w:t>in March 2014, see Luis (2014) for an evaluation.</w:t>
      </w:r>
      <w:r>
        <w:t xml:space="preserve"> </w:t>
      </w:r>
      <w:r w:rsidR="00E235E8">
        <w:t xml:space="preserve"> </w:t>
      </w:r>
      <w:r>
        <w:t>Since this new law also has limitations</w:t>
      </w:r>
      <w:r w:rsidR="007633CE">
        <w:t>,</w:t>
      </w:r>
      <w:r>
        <w:t xml:space="preserve"> additional jobs are expected to be provided through Mariel’s special economic development zone (ZEDM).  </w:t>
      </w:r>
      <w:r w:rsidR="004E7435">
        <w:t>The conditions associated with Brazilian investments in Mariel’s ZED</w:t>
      </w:r>
      <w:r w:rsidR="00FF1445">
        <w:t>,</w:t>
      </w:r>
      <w:r w:rsidR="004E7435">
        <w:t xml:space="preserve"> as described by Werlau, illustrate a broad relational contract involving a variety of economic agents, ranging from Cuban citizens to the Cuban and Brazilian governments and a well-connected Brazilian </w:t>
      </w:r>
      <w:r w:rsidR="00E8713B">
        <w:t>conglomerate,</w:t>
      </w:r>
      <w:r w:rsidR="004E7435">
        <w:t xml:space="preserve"> Odebrecht. </w:t>
      </w:r>
      <w:r w:rsidR="006A2384">
        <w:t xml:space="preserve"> </w:t>
      </w:r>
      <w:r w:rsidR="00E235E8">
        <w:t xml:space="preserve"> </w:t>
      </w:r>
      <w:r w:rsidR="00E8713B">
        <w:t xml:space="preserve">Allowing cooperatives outside agriculture is a reform that provides a new broad relational contract between Cuban citizens that can create jobs. </w:t>
      </w:r>
    </w:p>
    <w:p w:rsidR="00BF6C7C" w:rsidRDefault="00E8713B" w:rsidP="00B9380D">
      <w:pPr>
        <w:spacing w:line="480" w:lineRule="auto"/>
        <w:ind w:firstLine="720"/>
      </w:pPr>
      <w:r>
        <w:t xml:space="preserve">One irony of cooperatives outside agriculture </w:t>
      </w:r>
      <w:r w:rsidR="00915F94">
        <w:t xml:space="preserve">in Cuba </w:t>
      </w:r>
      <w:r>
        <w:t xml:space="preserve">is that </w:t>
      </w:r>
      <w:r w:rsidR="00915F94">
        <w:t>one of its ardent proponents and supporters, Camila Piñeiro</w:t>
      </w:r>
      <w:r w:rsidR="00C63A71">
        <w:t xml:space="preserve"> </w:t>
      </w:r>
      <w:r w:rsidR="00915F94">
        <w:t>Ha</w:t>
      </w:r>
      <w:r w:rsidR="00BF6C7C">
        <w:t>r</w:t>
      </w:r>
      <w:r w:rsidR="000E0BAD">
        <w:t xml:space="preserve">neker </w:t>
      </w:r>
      <w:r w:rsidR="00915F94">
        <w:t>(201</w:t>
      </w:r>
      <w:r w:rsidR="0007124A">
        <w:t>1,</w:t>
      </w:r>
      <w:r w:rsidR="00D344CE">
        <w:t xml:space="preserve"> </w:t>
      </w:r>
      <w:r w:rsidR="0007124A">
        <w:t>Pr</w:t>
      </w:r>
      <w:r w:rsidR="00D344CE">
        <w:t>ó</w:t>
      </w:r>
      <w:r w:rsidR="0007124A">
        <w:t>logo, pp. 8-9</w:t>
      </w:r>
      <w:r w:rsidR="00915F94">
        <w:t>), stresses</w:t>
      </w:r>
      <w:r w:rsidR="00FF1445">
        <w:t xml:space="preserve"> in her arguments their</w:t>
      </w:r>
      <w:r w:rsidR="00915F94">
        <w:t xml:space="preserve"> democratic features</w:t>
      </w:r>
      <w:r w:rsidR="00BF6C7C">
        <w:t xml:space="preserve"> to promote solidarity and defend socialism</w:t>
      </w:r>
      <w:r w:rsidR="00915F94">
        <w:t xml:space="preserve">.  </w:t>
      </w:r>
      <w:r w:rsidR="00936E11">
        <w:t xml:space="preserve">Another view is that </w:t>
      </w:r>
      <w:r w:rsidR="003204BC">
        <w:t>the interactions</w:t>
      </w:r>
      <w:r w:rsidR="00936E11">
        <w:t xml:space="preserve"> among cooperative members</w:t>
      </w:r>
      <w:r w:rsidR="003204BC">
        <w:t>, including the democratiz</w:t>
      </w:r>
      <w:r w:rsidR="00D344CE">
        <w:t>ing</w:t>
      </w:r>
      <w:r w:rsidR="003204BC">
        <w:t xml:space="preserve"> features</w:t>
      </w:r>
      <w:r w:rsidR="00936E11">
        <w:t>,</w:t>
      </w:r>
      <w:r w:rsidR="003204BC">
        <w:t xml:space="preserve"> </w:t>
      </w:r>
      <w:r w:rsidR="00936E11">
        <w:t xml:space="preserve">is </w:t>
      </w:r>
      <w:r w:rsidR="003204BC">
        <w:t>a mechanism</w:t>
      </w:r>
      <w:r w:rsidR="00936E11">
        <w:t xml:space="preserve"> leading to the development of social capital</w:t>
      </w:r>
      <w:r w:rsidR="003204BC">
        <w:t xml:space="preserve"> among cooperative members</w:t>
      </w:r>
      <w:r w:rsidR="00FC3B85">
        <w:t>.</w:t>
      </w:r>
      <w:r w:rsidR="000B266C">
        <w:rPr>
          <w:rStyle w:val="FootnoteReference"/>
        </w:rPr>
        <w:footnoteReference w:id="2"/>
      </w:r>
      <w:r w:rsidR="00936E11">
        <w:t xml:space="preserve">   From either perspective, however, this feature could provide a basis for </w:t>
      </w:r>
      <w:r w:rsidR="00BF6C7C">
        <w:t>political democratization along western lines</w:t>
      </w:r>
      <w:r w:rsidR="00D344CE">
        <w:t>.</w:t>
      </w:r>
      <w:r w:rsidR="003204BC">
        <w:t xml:space="preserve"> </w:t>
      </w:r>
      <w:r w:rsidR="00D344CE">
        <w:t xml:space="preserve"> </w:t>
      </w:r>
      <w:r w:rsidR="00936E11">
        <w:t>I</w:t>
      </w:r>
      <w:r w:rsidR="00FF1445">
        <w:t>nterestingly,</w:t>
      </w:r>
      <w:r w:rsidR="00BF6C7C">
        <w:t xml:space="preserve"> the implementation of these cooperatives by the Cuban government has limited </w:t>
      </w:r>
      <w:r w:rsidR="003204BC">
        <w:t>some of the democrati</w:t>
      </w:r>
      <w:r w:rsidR="00D344CE">
        <w:t xml:space="preserve">zing </w:t>
      </w:r>
      <w:r w:rsidR="00BF6C7C">
        <w:t>aspects and Piñeiro</w:t>
      </w:r>
      <w:r w:rsidR="00D344CE">
        <w:t xml:space="preserve"> </w:t>
      </w:r>
      <w:r w:rsidR="00BF6C7C">
        <w:t xml:space="preserve">Harneker is now a critic of the implementation, </w:t>
      </w:r>
      <w:r w:rsidR="00FC3B85">
        <w:t>B</w:t>
      </w:r>
      <w:r w:rsidR="00BF6C7C">
        <w:t>ye (2014).  From our point of view</w:t>
      </w:r>
      <w:r w:rsidR="00FF1445">
        <w:t>,</w:t>
      </w:r>
      <w:r w:rsidR="00BF6C7C">
        <w:t xml:space="preserve"> cooperatives provide a new broad relational contract that will increase the number of jobs to meet the needs created by the renegotiated relational contracts leading to dismissal of workers and non-performance in meeting the monthly ration needs of citizens.</w:t>
      </w:r>
    </w:p>
    <w:p w:rsidR="00786D2D" w:rsidRDefault="00936E11" w:rsidP="00EA77B5">
      <w:pPr>
        <w:spacing w:line="480" w:lineRule="auto"/>
        <w:ind w:firstLine="720"/>
      </w:pPr>
      <w:r>
        <w:t xml:space="preserve">More generally, the reforms </w:t>
      </w:r>
      <w:r w:rsidR="00CC4E07">
        <w:t>discussed in this section</w:t>
      </w:r>
      <w:r w:rsidR="00813B8D">
        <w:t xml:space="preserve">, and others not classified as structural such as those associated with </w:t>
      </w:r>
      <w:r w:rsidR="00813B8D" w:rsidRPr="0068213E">
        <w:rPr>
          <w:i/>
        </w:rPr>
        <w:t>perfeccionamiento empresarial</w:t>
      </w:r>
      <w:r w:rsidR="004E3625" w:rsidRPr="0068213E">
        <w:rPr>
          <w:i/>
        </w:rPr>
        <w:t xml:space="preserve"> (enterprise optimization program)</w:t>
      </w:r>
      <w:r w:rsidR="00813B8D">
        <w:rPr>
          <w:b/>
        </w:rPr>
        <w:t xml:space="preserve">, </w:t>
      </w:r>
      <w:r w:rsidR="00E235E8">
        <w:t>can be viewed as updating the model through changes</w:t>
      </w:r>
      <w:r w:rsidR="003204BC">
        <w:t xml:space="preserve"> </w:t>
      </w:r>
      <w:r w:rsidR="00E235E8">
        <w:t>in the nexus of both narrow and broad</w:t>
      </w:r>
      <w:r w:rsidR="00FF1445">
        <w:t xml:space="preserve"> relational contracts</w:t>
      </w:r>
      <w:r w:rsidR="00E235E8">
        <w:t xml:space="preserve"> underlying the </w:t>
      </w:r>
      <w:r>
        <w:t xml:space="preserve">old </w:t>
      </w:r>
      <w:r w:rsidR="00E235E8">
        <w:t>syste</w:t>
      </w:r>
      <w:r>
        <w:t>m</w:t>
      </w:r>
      <w:r w:rsidR="00FF1445">
        <w:t>.  Th</w:t>
      </w:r>
      <w:r w:rsidR="00C6241C">
        <w:t>is re-alignment is</w:t>
      </w:r>
      <w:r>
        <w:t xml:space="preserve"> consistent with the survival needs of the regime under new circumstances, including a substantial lowering of subsidies from foreign sources </w:t>
      </w:r>
      <w:r w:rsidR="00D344CE">
        <w:t>created by</w:t>
      </w:r>
      <w:r>
        <w:t xml:space="preserve"> </w:t>
      </w:r>
      <w:r w:rsidR="00C63A71">
        <w:t xml:space="preserve">the possibility of </w:t>
      </w:r>
      <w:r>
        <w:t xml:space="preserve">a Venezuelan collapse.  At the same time this re-alignment of relational contracts maintains </w:t>
      </w:r>
      <w:r w:rsidR="00E235E8">
        <w:t xml:space="preserve">support from the population </w:t>
      </w:r>
      <w:r>
        <w:t>and acceptance of the regime and</w:t>
      </w:r>
      <w:r w:rsidR="00813B8D">
        <w:t xml:space="preserve"> of </w:t>
      </w:r>
      <w:r>
        <w:t xml:space="preserve">the </w:t>
      </w:r>
      <w:r w:rsidR="00813B8D">
        <w:t xml:space="preserve">socialist </w:t>
      </w:r>
      <w:r>
        <w:t xml:space="preserve">system </w:t>
      </w:r>
      <w:r w:rsidR="00E235E8">
        <w:t xml:space="preserve">given </w:t>
      </w:r>
      <w:r w:rsidR="00CC4E07">
        <w:t xml:space="preserve">that </w:t>
      </w:r>
      <w:r w:rsidR="00E235E8">
        <w:t xml:space="preserve">the old nexus of relational </w:t>
      </w:r>
      <w:r w:rsidR="00CC4E07">
        <w:t xml:space="preserve">contracts can no </w:t>
      </w:r>
      <w:r w:rsidR="00E235E8">
        <w:t xml:space="preserve">longer do so. </w:t>
      </w:r>
      <w:r w:rsidR="004E3625">
        <w:t xml:space="preserve"> </w:t>
      </w:r>
      <w:r w:rsidR="00E235E8">
        <w:t>From this point of view the</w:t>
      </w:r>
      <w:r w:rsidR="00813B8D">
        <w:t xml:space="preserve">se reforms </w:t>
      </w:r>
      <w:r w:rsidR="00E235E8">
        <w:t>are far from perplexing</w:t>
      </w:r>
      <w:r w:rsidR="00CC4E07">
        <w:t xml:space="preserve"> </w:t>
      </w:r>
      <w:r w:rsidR="00813B8D">
        <w:t xml:space="preserve">and instead represent a sensible accommodation to the </w:t>
      </w:r>
      <w:r w:rsidR="00CC4E07">
        <w:t xml:space="preserve">logic </w:t>
      </w:r>
      <w:r w:rsidR="00813B8D">
        <w:t>of</w:t>
      </w:r>
      <w:r w:rsidR="00CC4E07">
        <w:t xml:space="preserve"> survival under a new set of circumstances.</w:t>
      </w:r>
      <w:r w:rsidR="00E429A6">
        <w:t xml:space="preserve"> </w:t>
      </w:r>
    </w:p>
    <w:p w:rsidR="00770A7E" w:rsidRDefault="000E115A" w:rsidP="00EA77B5">
      <w:pPr>
        <w:spacing w:line="480" w:lineRule="auto"/>
        <w:ind w:firstLine="720"/>
      </w:pPr>
      <w:r>
        <w:t xml:space="preserve">Last but not least, it is worth noting that relational contracts of either the narrow or the broad type are not unique to Cuba but exist everywhere.  Indeed one could argue that these contracts are increasing in importance as a result of globalization, since the latter reduces the effectiveness of impartial third party enforcement mechanisms in any one country.  Meanwhile supranational bodies have not become equally effective as </w:t>
      </w:r>
      <w:r w:rsidR="00C63A71">
        <w:t xml:space="preserve">the best within country </w:t>
      </w:r>
      <w:r>
        <w:t>impartial third party enforcers</w:t>
      </w:r>
      <w:r w:rsidR="00C63A71">
        <w:t xml:space="preserve"> among developed countries</w:t>
      </w:r>
      <w:r>
        <w:t xml:space="preserve">.  One </w:t>
      </w:r>
      <w:r w:rsidR="00C63A71">
        <w:t xml:space="preserve">interesting </w:t>
      </w:r>
      <w:r>
        <w:t xml:space="preserve">source of differences between countries is in the effectiveness of impartial third party enforcement mechanisms associated with the rule of law.  </w:t>
      </w:r>
    </w:p>
    <w:p w:rsidR="00770A7E" w:rsidRDefault="007979AC" w:rsidP="00770A7E">
      <w:pPr>
        <w:spacing w:line="480" w:lineRule="auto"/>
        <w:ind w:firstLine="720"/>
      </w:pPr>
      <w:r>
        <w:t>Where</w:t>
      </w:r>
      <w:r w:rsidR="00770A7E">
        <w:t xml:space="preserve"> the rule of law </w:t>
      </w:r>
      <w:r>
        <w:t xml:space="preserve">is less effective </w:t>
      </w:r>
      <w:r w:rsidR="00B36805">
        <w:t xml:space="preserve">more </w:t>
      </w:r>
      <w:r>
        <w:t xml:space="preserve">relational contracts </w:t>
      </w:r>
      <w:r w:rsidR="00B36805">
        <w:t xml:space="preserve">are necessary to </w:t>
      </w:r>
      <w:r>
        <w:t>fill the gap</w:t>
      </w:r>
      <w:r w:rsidR="00770A7E">
        <w:t>.  In this setting t</w:t>
      </w:r>
      <w:r>
        <w:t>he set of corruption opportunities expand</w:t>
      </w:r>
      <w:r w:rsidR="00770A7E">
        <w:t xml:space="preserve"> </w:t>
      </w:r>
      <w:r w:rsidR="00D3471D">
        <w:t>since</w:t>
      </w:r>
      <w:r w:rsidR="00770A7E">
        <w:t xml:space="preserve"> there are more opportunities</w:t>
      </w:r>
      <w:r w:rsidR="00D3471D">
        <w:t xml:space="preserve"> and incentives </w:t>
      </w:r>
      <w:r w:rsidR="00770A7E">
        <w:t>to break formal rules without consequences.</w:t>
      </w:r>
      <w:r w:rsidR="000E115A">
        <w:t xml:space="preserve"> </w:t>
      </w:r>
      <w:r w:rsidR="0048623E">
        <w:t xml:space="preserve"> One definition of corruption in the organizational setting </w:t>
      </w:r>
      <w:r w:rsidR="0051656C">
        <w:t>suggests a positive association between the extent of relational contracts and corruption.</w:t>
      </w:r>
      <w:r w:rsidR="0048623E">
        <w:t xml:space="preserve">  Namely, </w:t>
      </w:r>
      <w:r w:rsidR="00770A7E">
        <w:t xml:space="preserve">corruption </w:t>
      </w:r>
      <w:r w:rsidR="00F20D86">
        <w:t xml:space="preserve">can be </w:t>
      </w:r>
      <w:r w:rsidR="0048623E">
        <w:t xml:space="preserve">viewed as </w:t>
      </w:r>
      <w:r w:rsidR="00F20D86">
        <w:t xml:space="preserve">“… the breaking of a rule by a bureaucrat </w:t>
      </w:r>
      <w:r w:rsidR="00F20D86" w:rsidRPr="00770A7E">
        <w:rPr>
          <w:b/>
        </w:rPr>
        <w:t>(agent in an organization</w:t>
      </w:r>
      <w:r w:rsidR="00770A7E">
        <w:t>)</w:t>
      </w:r>
      <w:r w:rsidR="00F20D86">
        <w:t xml:space="preserve"> for private</w:t>
      </w:r>
      <w:r w:rsidR="00770A7E">
        <w:t xml:space="preserve"> (</w:t>
      </w:r>
      <w:r w:rsidR="00770A7E" w:rsidRPr="00770A7E">
        <w:rPr>
          <w:b/>
        </w:rPr>
        <w:t>personal</w:t>
      </w:r>
      <w:r w:rsidR="00770A7E">
        <w:t>) gain.</w:t>
      </w:r>
      <w:r w:rsidR="00D3471D">
        <w:t>”</w:t>
      </w:r>
      <w:r w:rsidR="00770A7E">
        <w:t xml:space="preserve">  </w:t>
      </w:r>
      <w:r w:rsidR="00F20D86">
        <w:t xml:space="preserve"> </w:t>
      </w:r>
      <w:r w:rsidR="00770A7E">
        <w:t>The bold face indicates our adaptation or simple generalization of the definition adopted by Banerjee, Ha</w:t>
      </w:r>
      <w:r w:rsidR="00D3471D">
        <w:t>nna</w:t>
      </w:r>
      <w:r w:rsidR="00770A7E">
        <w:t xml:space="preserve"> and Mullainathan </w:t>
      </w:r>
      <w:r w:rsidR="008E6A99">
        <w:t xml:space="preserve">(2013) </w:t>
      </w:r>
      <w:r w:rsidR="00770A7E">
        <w:t xml:space="preserve">in their essay for the </w:t>
      </w:r>
      <w:r w:rsidR="00770A7E" w:rsidRPr="00C6241C">
        <w:rPr>
          <w:i/>
        </w:rPr>
        <w:t>Handbook</w:t>
      </w:r>
      <w:r w:rsidR="00D3471D" w:rsidRPr="00C6241C">
        <w:rPr>
          <w:i/>
        </w:rPr>
        <w:t xml:space="preserve"> of Organizational Economics</w:t>
      </w:r>
      <w:r w:rsidR="00770A7E">
        <w:t>.</w:t>
      </w:r>
      <w:r w:rsidR="0051656C">
        <w:t xml:space="preserve">  Under this definition the extent of </w:t>
      </w:r>
      <w:r w:rsidR="00B252B7">
        <w:t xml:space="preserve">the need for </w:t>
      </w:r>
      <w:r w:rsidR="0051656C">
        <w:t>relational contracts provides a guide to the extent of incentives and opportunities for corruption in a society</w:t>
      </w:r>
      <w:r w:rsidR="00B252B7">
        <w:t xml:space="preserve">.  Whether </w:t>
      </w:r>
      <w:r w:rsidR="00B83EC9">
        <w:t xml:space="preserve">or not </w:t>
      </w:r>
      <w:r w:rsidR="00B252B7">
        <w:t xml:space="preserve">these opportunities and incentives are taken advantage </w:t>
      </w:r>
      <w:r w:rsidR="005E6D21">
        <w:t xml:space="preserve">of </w:t>
      </w:r>
      <w:r w:rsidR="00B83EC9">
        <w:t xml:space="preserve">by economic agents in a society </w:t>
      </w:r>
      <w:r w:rsidR="00B252B7">
        <w:t>depends on a variety of other factors</w:t>
      </w:r>
      <w:r w:rsidR="00B83EC9">
        <w:t xml:space="preserve"> </w:t>
      </w:r>
      <w:r w:rsidR="00C63A71">
        <w:t>beyond the scope of this essay, including culture.</w:t>
      </w:r>
      <w:r w:rsidR="00B252B7">
        <w:t xml:space="preserve"> </w:t>
      </w:r>
    </w:p>
    <w:p w:rsidR="00786D2D" w:rsidRDefault="00683A82" w:rsidP="00770A7E">
      <w:pPr>
        <w:spacing w:line="480" w:lineRule="auto"/>
        <w:rPr>
          <w:b/>
        </w:rPr>
      </w:pPr>
      <w:r w:rsidRPr="00683A82">
        <w:rPr>
          <w:b/>
        </w:rPr>
        <w:t xml:space="preserve">III. Market Liberalizations: </w:t>
      </w:r>
      <w:r w:rsidR="00315399">
        <w:rPr>
          <w:b/>
        </w:rPr>
        <w:t xml:space="preserve"> Growth </w:t>
      </w:r>
      <w:r w:rsidR="009A0BCF">
        <w:rPr>
          <w:b/>
        </w:rPr>
        <w:t xml:space="preserve">Implications </w:t>
      </w:r>
      <w:r w:rsidR="00315399">
        <w:rPr>
          <w:b/>
        </w:rPr>
        <w:t>&amp;</w:t>
      </w:r>
      <w:r w:rsidR="009A0BCF">
        <w:rPr>
          <w:b/>
        </w:rPr>
        <w:t xml:space="preserve"> Relational Constraints</w:t>
      </w:r>
      <w:r w:rsidRPr="00683A82">
        <w:rPr>
          <w:b/>
        </w:rPr>
        <w:t xml:space="preserve"> </w:t>
      </w:r>
    </w:p>
    <w:p w:rsidR="00EA77B5" w:rsidRDefault="00EA77B5" w:rsidP="00786D2D">
      <w:pPr>
        <w:spacing w:line="480" w:lineRule="auto"/>
      </w:pPr>
      <w:r>
        <w:rPr>
          <w:b/>
        </w:rPr>
        <w:tab/>
      </w:r>
      <w:r w:rsidRPr="00EA77B5">
        <w:t>The reforms under th</w:t>
      </w:r>
      <w:r>
        <w:t xml:space="preserve">e rubric of market liberalizations </w:t>
      </w:r>
      <w:r w:rsidRPr="00EA77B5">
        <w:t>could also be viewed as an updating of the model</w:t>
      </w:r>
      <w:r w:rsidR="00EE4E97">
        <w:t>.</w:t>
      </w:r>
      <w:r w:rsidR="00D344CE">
        <w:t xml:space="preserve"> </w:t>
      </w:r>
      <w:r w:rsidR="00EE4E97">
        <w:t xml:space="preserve"> Nevertheless, they involve property rights and civil liberties in a fundamental way and, thus, they can also be viewed as a break from the model</w:t>
      </w:r>
      <w:r w:rsidR="00D344CE">
        <w:t xml:space="preserve"> as typically conceived</w:t>
      </w:r>
      <w:r w:rsidR="00EE4E97">
        <w:t xml:space="preserve">. </w:t>
      </w:r>
      <w:r w:rsidR="00D344CE">
        <w:t xml:space="preserve"> Many observers would view the typical conception of socialism, especially in the case of Cuba over the almost 50 years Fidel was in command, as excluding any role for private property rights in so far as possible.  </w:t>
      </w:r>
      <w:r w:rsidR="00EE4E97">
        <w:t>I adopt th</w:t>
      </w:r>
      <w:r w:rsidR="000E115A">
        <w:t>e</w:t>
      </w:r>
      <w:r w:rsidR="00EE4E97">
        <w:t xml:space="preserve"> second perspective to differentiate these </w:t>
      </w:r>
      <w:r w:rsidR="00D344CE">
        <w:t xml:space="preserve">structural </w:t>
      </w:r>
      <w:r w:rsidR="00EE4E97">
        <w:t>reforms from the ones in the previous section which involve transaction costs in a fundamental way</w:t>
      </w:r>
      <w:r w:rsidR="00D344CE">
        <w:t xml:space="preserve"> </w:t>
      </w:r>
      <w:r w:rsidR="000E115A">
        <w:t>that is</w:t>
      </w:r>
      <w:r w:rsidR="009541D3">
        <w:t xml:space="preserve"> similar to the </w:t>
      </w:r>
      <w:r w:rsidR="000E115A">
        <w:t xml:space="preserve">fundamental </w:t>
      </w:r>
      <w:r w:rsidR="009541D3">
        <w:t xml:space="preserve">way </w:t>
      </w:r>
      <w:r w:rsidR="00D344CE">
        <w:t xml:space="preserve">market liberalizations involve </w:t>
      </w:r>
      <w:r w:rsidR="009A0BCF">
        <w:t>civil liberties in general and property rights in particular.</w:t>
      </w:r>
      <w:r w:rsidR="00EE4E97">
        <w:t xml:space="preserve">  </w:t>
      </w:r>
      <w:r w:rsidR="00B21472">
        <w:t xml:space="preserve">In addition, in principle, </w:t>
      </w:r>
      <w:r w:rsidR="00341F40">
        <w:t xml:space="preserve">this perspective </w:t>
      </w:r>
      <w:r w:rsidR="00B21472">
        <w:t>provides a clearer logical connection to potential outcomes for economic growth.</w:t>
      </w:r>
      <w:r w:rsidR="00EE4E97">
        <w:t xml:space="preserve">  </w:t>
      </w:r>
    </w:p>
    <w:p w:rsidR="00BE3098" w:rsidRDefault="00EE7596" w:rsidP="00786D2D">
      <w:pPr>
        <w:spacing w:line="480" w:lineRule="auto"/>
      </w:pPr>
      <w:r>
        <w:tab/>
      </w:r>
      <w:r w:rsidR="00B101BF">
        <w:t xml:space="preserve">Let’s begin </w:t>
      </w:r>
      <w:r>
        <w:t>by identifying in more detail the structural reforms associated with market liberalizations.</w:t>
      </w:r>
      <w:r w:rsidR="00FE5CD4">
        <w:t xml:space="preserve">  </w:t>
      </w:r>
      <w:r w:rsidR="005E6D21">
        <w:t>First, they include the ability to sell</w:t>
      </w:r>
      <w:r w:rsidR="009A0BCF">
        <w:t>,</w:t>
      </w:r>
      <w:r w:rsidR="005E6D21">
        <w:t xml:space="preserve"> purchase and own assets such as houses and cars.  While the housing market has thrived as a result</w:t>
      </w:r>
      <w:r w:rsidR="009A0BCF">
        <w:t xml:space="preserve"> of the reform,</w:t>
      </w:r>
      <w:r w:rsidR="005E6D21">
        <w:t xml:space="preserve"> the automobile one has </w:t>
      </w:r>
      <w:r w:rsidR="00746BB9">
        <w:t xml:space="preserve">floundered </w:t>
      </w:r>
      <w:r w:rsidR="005E6D21">
        <w:t xml:space="preserve">since the </w:t>
      </w:r>
      <w:r w:rsidR="00746BB9">
        <w:t xml:space="preserve">initial </w:t>
      </w:r>
      <w:r w:rsidR="00B101BF">
        <w:t xml:space="preserve">purchase </w:t>
      </w:r>
      <w:r w:rsidR="005E6D21">
        <w:t>prices</w:t>
      </w:r>
      <w:r w:rsidR="00746BB9">
        <w:t xml:space="preserve"> </w:t>
      </w:r>
      <w:r w:rsidR="00B101BF">
        <w:t xml:space="preserve">on newly available cars </w:t>
      </w:r>
      <w:r w:rsidR="00746BB9">
        <w:t xml:space="preserve">were set at very high levels.  </w:t>
      </w:r>
      <w:r w:rsidR="0077456F">
        <w:t>T</w:t>
      </w:r>
      <w:r w:rsidR="00746BB9">
        <w:t>he ability to purchase and own durables such as air conditioners, computers and cell phones has been liberalized</w:t>
      </w:r>
      <w:r w:rsidR="009A0BCF">
        <w:t xml:space="preserve"> to some extent</w:t>
      </w:r>
      <w:r w:rsidR="00746BB9">
        <w:t xml:space="preserve">, </w:t>
      </w:r>
      <w:r w:rsidR="0077456F">
        <w:t xml:space="preserve">but </w:t>
      </w:r>
      <w:r w:rsidR="00746BB9">
        <w:t xml:space="preserve">the right to sell or even alienate these items remains somewhat circumscribed.  The right to migrate internationally has been substantially extended in meaningful ways even though some restrictions remain.  Similarly, the </w:t>
      </w:r>
      <w:r w:rsidR="00C6057A">
        <w:t>usufruct of land</w:t>
      </w:r>
      <w:r w:rsidR="00746BB9">
        <w:t xml:space="preserve"> has also been liberalized together with the ability to sell items to non-governmental entities</w:t>
      </w:r>
      <w:r w:rsidR="0021047F">
        <w:t xml:space="preserve">. </w:t>
      </w:r>
      <w:r w:rsidR="00746BB9">
        <w:t xml:space="preserve"> </w:t>
      </w:r>
    </w:p>
    <w:p w:rsidR="00EB62B7" w:rsidRDefault="00BE3098" w:rsidP="00EB62B7">
      <w:pPr>
        <w:spacing w:line="480" w:lineRule="auto"/>
        <w:ind w:firstLine="720"/>
      </w:pPr>
      <w:r>
        <w:t xml:space="preserve">In sum, </w:t>
      </w:r>
      <w:r w:rsidR="00746BB9">
        <w:t>it is fair to say that there ha</w:t>
      </w:r>
      <w:r w:rsidR="0077456F">
        <w:t>ve</w:t>
      </w:r>
      <w:r w:rsidR="00746BB9">
        <w:t xml:space="preserve"> been substantial market liberalizations</w:t>
      </w:r>
      <w:r w:rsidR="00B101BF">
        <w:t xml:space="preserve"> and that the welfare of Cuba’s population has improved as a result. While the distribution of these improvements has been uneven, it is hard to believe that the market liberalizations, </w:t>
      </w:r>
      <w:r w:rsidR="00B101BF" w:rsidRPr="00B101BF">
        <w:rPr>
          <w:b/>
        </w:rPr>
        <w:t>by themselves</w:t>
      </w:r>
      <w:r w:rsidR="00B101BF">
        <w:t>, would have decreased anyone’s welfare in absolute terms</w:t>
      </w:r>
      <w:r>
        <w:t xml:space="preserve">.  Perhaps </w:t>
      </w:r>
      <w:r w:rsidR="00B101BF">
        <w:t xml:space="preserve">devout believers on the moral superiority of a command economy or equally devout haters of </w:t>
      </w:r>
      <w:r>
        <w:t xml:space="preserve">all things associated with </w:t>
      </w:r>
      <w:r w:rsidR="00B101BF">
        <w:t>the regime</w:t>
      </w:r>
      <w:r>
        <w:t xml:space="preserve"> would be willing to make that argument, but it makes little economic sense</w:t>
      </w:r>
      <w:r w:rsidR="00121078">
        <w:t xml:space="preserve"> in the absence of envy or fairness considerations.</w:t>
      </w:r>
      <w:r w:rsidR="00EB62B7">
        <w:t xml:space="preserve">  </w:t>
      </w:r>
    </w:p>
    <w:p w:rsidR="008B7EC5" w:rsidRDefault="0021047F" w:rsidP="00EB62B7">
      <w:pPr>
        <w:spacing w:line="480" w:lineRule="auto"/>
        <w:ind w:firstLine="720"/>
      </w:pPr>
      <w:r>
        <w:t xml:space="preserve">Interestingly enough, these liberalizations have taken place in the subcategory of civil liberties that Freedom </w:t>
      </w:r>
      <w:r w:rsidR="00EB62B7">
        <w:t>H</w:t>
      </w:r>
      <w:r>
        <w:t>ouse</w:t>
      </w:r>
      <w:r w:rsidR="00FC3B85">
        <w:t>, e.g., Piano and Puddington (2006),</w:t>
      </w:r>
      <w:r>
        <w:t xml:space="preserve"> labels Personal Autonomy and Individual Rights (G)</w:t>
      </w:r>
      <w:r w:rsidR="008B7EC5">
        <w:t xml:space="preserve">, which includes </w:t>
      </w:r>
      <w:r w:rsidR="00EB62B7">
        <w:t>all</w:t>
      </w:r>
      <w:r w:rsidR="008B7EC5">
        <w:t xml:space="preserve"> decisions most directly related to economic activity</w:t>
      </w:r>
      <w:r w:rsidR="00354474">
        <w:t xml:space="preserve"> (and has a maximum score of 16)</w:t>
      </w:r>
      <w:r w:rsidR="008B7EC5">
        <w:t>.</w:t>
      </w:r>
      <w:r>
        <w:t xml:space="preserve">  There has been no liberalization </w:t>
      </w:r>
      <w:r w:rsidR="008B7EC5">
        <w:t xml:space="preserve">to speak of </w:t>
      </w:r>
      <w:r w:rsidR="00EB62B7">
        <w:t xml:space="preserve">in </w:t>
      </w:r>
      <w:r>
        <w:t xml:space="preserve">the other three subcategories </w:t>
      </w:r>
      <w:r w:rsidR="008B7EC5">
        <w:t xml:space="preserve">of civil liberties </w:t>
      </w:r>
      <w:r>
        <w:t xml:space="preserve">which </w:t>
      </w:r>
      <w:r w:rsidR="008B7EC5">
        <w:t xml:space="preserve">are only indirectly associated with economic activity.  The latter </w:t>
      </w:r>
      <w:r>
        <w:t>correspond to Freedom of Expression (D), Freedom of Assembly (E) and the Rule of Law (F)</w:t>
      </w:r>
      <w:r w:rsidR="00354474">
        <w:t>, which have maximum scores of 16, 12 and 16, respectively.</w:t>
      </w:r>
      <w:r>
        <w:t xml:space="preserve">  Indeed, there are reports of increase</w:t>
      </w:r>
      <w:r w:rsidR="00EB62B7">
        <w:t>d</w:t>
      </w:r>
      <w:r>
        <w:t xml:space="preserve"> repression against dissidents</w:t>
      </w:r>
      <w:r w:rsidR="00EB62B7">
        <w:t xml:space="preserve"> during Raul’s era </w:t>
      </w:r>
      <w:r w:rsidR="009A0BCF">
        <w:t xml:space="preserve">which are </w:t>
      </w:r>
      <w:r w:rsidR="00EB62B7">
        <w:t xml:space="preserve">consistent with </w:t>
      </w:r>
      <w:r w:rsidR="009A0BCF">
        <w:t xml:space="preserve">Cuba’s performance in </w:t>
      </w:r>
      <w:r w:rsidR="00EB62B7">
        <w:t xml:space="preserve">the Freedom House scores.  For instance, </w:t>
      </w:r>
      <w:r w:rsidR="00FF6E99">
        <w:t>in terms of Freedom of Assembly</w:t>
      </w:r>
      <w:r w:rsidR="00EB62B7">
        <w:t xml:space="preserve"> (E) </w:t>
      </w:r>
      <w:r w:rsidR="00FF6E99">
        <w:t>Cuba</w:t>
      </w:r>
      <w:r w:rsidR="00C95D17">
        <w:t xml:space="preserve">’s already </w:t>
      </w:r>
      <w:r w:rsidR="00FF6E99">
        <w:t xml:space="preserve">very low score of 2 in 2006 </w:t>
      </w:r>
      <w:r w:rsidR="00C95D17">
        <w:t xml:space="preserve">decreased </w:t>
      </w:r>
      <w:r w:rsidR="00FF6E99">
        <w:t>to a score of 1 in 2012.  By contrast, it increased i</w:t>
      </w:r>
      <w:r w:rsidR="00AE1662">
        <w:t>t</w:t>
      </w:r>
      <w:r w:rsidR="00FF6E99">
        <w:t xml:space="preserve">s very low </w:t>
      </w:r>
      <w:r w:rsidR="008B7EC5">
        <w:t xml:space="preserve">2006 </w:t>
      </w:r>
      <w:r w:rsidR="00FF6E99">
        <w:t>score of 2</w:t>
      </w:r>
      <w:r w:rsidR="008B7EC5">
        <w:t xml:space="preserve"> </w:t>
      </w:r>
      <w:r w:rsidR="00FF6E99">
        <w:t xml:space="preserve">to </w:t>
      </w:r>
      <w:r w:rsidR="008B7EC5">
        <w:t xml:space="preserve">a 2012 score of </w:t>
      </w:r>
      <w:r w:rsidR="00FF6E99">
        <w:t xml:space="preserve">4 in the category of </w:t>
      </w:r>
      <w:r w:rsidR="00EB62B7">
        <w:t>P</w:t>
      </w:r>
      <w:r w:rsidR="00FF6E99">
        <w:t xml:space="preserve">ersonal </w:t>
      </w:r>
      <w:r w:rsidR="00EB62B7">
        <w:t>A</w:t>
      </w:r>
      <w:r w:rsidR="00FF6E99">
        <w:t xml:space="preserve">utonomy and </w:t>
      </w:r>
      <w:r w:rsidR="00EB62B7">
        <w:t>I</w:t>
      </w:r>
      <w:r w:rsidR="00FF6E99">
        <w:t xml:space="preserve">ndividual </w:t>
      </w:r>
      <w:r w:rsidR="00EB62B7">
        <w:t>R</w:t>
      </w:r>
      <w:r w:rsidR="00FF6E99">
        <w:t>ights</w:t>
      </w:r>
      <w:r w:rsidR="00EB62B7">
        <w:t xml:space="preserve"> (G)</w:t>
      </w:r>
      <w:r w:rsidR="00FF6E99">
        <w:t>, e.g.,</w:t>
      </w:r>
      <w:r w:rsidR="008B7EC5" w:rsidRPr="008B7EC5">
        <w:t xml:space="preserve"> </w:t>
      </w:r>
      <w:hyperlink r:id="rId8" w:history="1">
        <w:r w:rsidR="008B7EC5" w:rsidRPr="00EF1A17">
          <w:rPr>
            <w:rStyle w:val="Hyperlink"/>
          </w:rPr>
          <w:t>http://devresearchcenter.org/2013/11/25/evolution-of-democracy-in-selected-developing-countries-by-roger-r-betancourt/</w:t>
        </w:r>
      </w:hyperlink>
    </w:p>
    <w:p w:rsidR="00EE7596" w:rsidRDefault="008B7EC5" w:rsidP="0021047F">
      <w:pPr>
        <w:spacing w:line="480" w:lineRule="auto"/>
        <w:ind w:firstLine="720"/>
      </w:pPr>
      <w:r>
        <w:t>Political rights have not been addressed</w:t>
      </w:r>
      <w:r w:rsidR="00AE1662">
        <w:t xml:space="preserve"> by the reforms.  </w:t>
      </w:r>
      <w:r>
        <w:t xml:space="preserve">Cuba’s scores in the three </w:t>
      </w:r>
      <w:r w:rsidR="00EB62B7">
        <w:t xml:space="preserve">political rights </w:t>
      </w:r>
      <w:r>
        <w:t>subcategories (A-C) measured by Freedom House did not change between 2006 and 2012</w:t>
      </w:r>
      <w:r w:rsidR="0066408B">
        <w:t>, remaining at 0, 0 and 1, respectiv</w:t>
      </w:r>
      <w:r w:rsidR="002A37E9">
        <w:t>e</w:t>
      </w:r>
      <w:r w:rsidR="0066408B">
        <w:t>ly</w:t>
      </w:r>
      <w:r>
        <w:t xml:space="preserve">.  </w:t>
      </w:r>
      <w:r w:rsidR="0077456F">
        <w:t xml:space="preserve">The maximum scores </w:t>
      </w:r>
      <w:r w:rsidR="00354474">
        <w:t xml:space="preserve">in these subcategories </w:t>
      </w:r>
      <w:r w:rsidR="0077456F">
        <w:t xml:space="preserve">were </w:t>
      </w:r>
      <w:r w:rsidR="00354474">
        <w:t xml:space="preserve">12, 16 and 12, respectively.  </w:t>
      </w:r>
      <w:r>
        <w:t xml:space="preserve">There are similarities in this process with China where political rights have barely changed </w:t>
      </w:r>
      <w:r w:rsidR="00EB62B7">
        <w:t>in a much longer time frame</w:t>
      </w:r>
      <w:r w:rsidR="00AE1662">
        <w:t>.  Meanwhile</w:t>
      </w:r>
      <w:r>
        <w:t xml:space="preserve"> civil liberties, especially </w:t>
      </w:r>
      <w:r w:rsidR="00EB62B7">
        <w:t>those directly associated with economic activities</w:t>
      </w:r>
      <w:r w:rsidR="00AE1662">
        <w:t>,</w:t>
      </w:r>
      <w:r>
        <w:t xml:space="preserve"> have changed quite a bit</w:t>
      </w:r>
      <w:r w:rsidR="0066408B">
        <w:t xml:space="preserve">.  For instance, in China the same source reports </w:t>
      </w:r>
      <w:r w:rsidR="00D20F2C">
        <w:t xml:space="preserve">that </w:t>
      </w:r>
      <w:r w:rsidR="0066408B">
        <w:t>political rights in subcategories A and B (</w:t>
      </w:r>
      <w:r w:rsidR="00AE1662">
        <w:t>F</w:t>
      </w:r>
      <w:r w:rsidR="0066408B">
        <w:t xml:space="preserve">airness of </w:t>
      </w:r>
      <w:r w:rsidR="00AE1662">
        <w:t>E</w:t>
      </w:r>
      <w:r w:rsidR="0066408B">
        <w:t xml:space="preserve">lectoral </w:t>
      </w:r>
      <w:r w:rsidR="00AE1662">
        <w:t>P</w:t>
      </w:r>
      <w:r w:rsidR="0066408B">
        <w:t>rocess and Pluralism&amp; Political Participation</w:t>
      </w:r>
      <w:r w:rsidR="00AD7F4C">
        <w:t>)</w:t>
      </w:r>
      <w:r w:rsidR="0066408B">
        <w:t xml:space="preserve"> have </w:t>
      </w:r>
      <w:r w:rsidR="00D20F2C">
        <w:t xml:space="preserve">not </w:t>
      </w:r>
      <w:r w:rsidR="003A78EB">
        <w:t>c</w:t>
      </w:r>
      <w:r w:rsidR="0066408B">
        <w:t>hanged between 2006 and 2012, remaining at the low scores of 0 and 1, respectively</w:t>
      </w:r>
      <w:r w:rsidR="002A37E9">
        <w:t>.  By contrast</w:t>
      </w:r>
      <w:r w:rsidR="00D20F2C">
        <w:t>,</w:t>
      </w:r>
      <w:r w:rsidR="002A37E9">
        <w:t xml:space="preserve"> civil liberties such as </w:t>
      </w:r>
      <w:r w:rsidR="0066408B">
        <w:t xml:space="preserve">Freedom of Assembly (E) </w:t>
      </w:r>
      <w:r w:rsidR="002A37E9">
        <w:t xml:space="preserve">were at 2 in </w:t>
      </w:r>
      <w:r w:rsidR="0066408B">
        <w:t xml:space="preserve">2006 </w:t>
      </w:r>
      <w:r w:rsidR="002A37E9">
        <w:t xml:space="preserve">and at 3 </w:t>
      </w:r>
      <w:r w:rsidR="0066408B">
        <w:t>in 2012 while Personal Autonomy and Individual Rights</w:t>
      </w:r>
      <w:r w:rsidR="002A37E9">
        <w:t xml:space="preserve"> (G) </w:t>
      </w:r>
      <w:r w:rsidR="0066408B">
        <w:t xml:space="preserve">were at 7 in 2006 and </w:t>
      </w:r>
      <w:r w:rsidR="002A37E9">
        <w:t xml:space="preserve">at </w:t>
      </w:r>
      <w:r w:rsidR="0066408B">
        <w:t>6 in 2012.</w:t>
      </w:r>
      <w:r w:rsidR="002A37E9">
        <w:t xml:space="preserve"> Thus, the similarities between Cuba and China lie in the strong limits on political rights with weaker limits on the civil liberties </w:t>
      </w:r>
      <w:r w:rsidR="00B21472">
        <w:t xml:space="preserve">most </w:t>
      </w:r>
      <w:r w:rsidR="002A37E9">
        <w:t xml:space="preserve">directly </w:t>
      </w:r>
      <w:r w:rsidR="00B21472">
        <w:t xml:space="preserve">associated </w:t>
      </w:r>
      <w:r w:rsidR="002A37E9">
        <w:t>with economic activities</w:t>
      </w:r>
      <w:r w:rsidR="009A0BCF">
        <w:t>, subcategory G</w:t>
      </w:r>
      <w:r w:rsidR="002A37E9">
        <w:t xml:space="preserve">.  The differences </w:t>
      </w:r>
      <w:r w:rsidR="00AD7F4C">
        <w:t xml:space="preserve">lie </w:t>
      </w:r>
      <w:r w:rsidR="002A37E9">
        <w:t xml:space="preserve">in that the process of weakening limits on civil liberties associated with economic activities has gone far more deeply in China according to the above evidence. </w:t>
      </w:r>
      <w:r w:rsidR="009A0BCF">
        <w:t xml:space="preserve"> </w:t>
      </w:r>
      <w:r w:rsidR="002A37E9">
        <w:t>Similar arguments can be made about Vietnam.</w:t>
      </w:r>
    </w:p>
    <w:p w:rsidR="00B77C89" w:rsidRDefault="00C6057A" w:rsidP="0021047F">
      <w:pPr>
        <w:spacing w:line="480" w:lineRule="auto"/>
        <w:ind w:firstLine="720"/>
      </w:pPr>
      <w:r>
        <w:t>Even if one were to agree that the reform process associated with market liberalizations had been as profound in Cuba as it has been in China or Vietnam, it is very unlikely, if not impossible</w:t>
      </w:r>
      <w:r w:rsidR="00D20F2C">
        <w:t>,</w:t>
      </w:r>
      <w:r>
        <w:t xml:space="preserve"> that </w:t>
      </w:r>
      <w:r w:rsidR="009A0BCF">
        <w:t xml:space="preserve">as a result </w:t>
      </w:r>
      <w:r>
        <w:t xml:space="preserve">Cuba could experience double digit </w:t>
      </w:r>
      <w:r w:rsidR="00D20F2C">
        <w:t>or</w:t>
      </w:r>
      <w:r>
        <w:t xml:space="preserve"> even high</w:t>
      </w:r>
      <w:r w:rsidR="000C1C91">
        <w:t xml:space="preserve"> </w:t>
      </w:r>
      <w:r>
        <w:t>single</w:t>
      </w:r>
      <w:r w:rsidR="000C1C91">
        <w:t>-</w:t>
      </w:r>
      <w:r>
        <w:t xml:space="preserve">digit </w:t>
      </w:r>
      <w:r w:rsidR="00D20F2C">
        <w:t>growth rates</w:t>
      </w:r>
      <w:r>
        <w:t xml:space="preserve"> during an extended period of time </w:t>
      </w:r>
      <w:r w:rsidR="00315399">
        <w:t xml:space="preserve">similar to what </w:t>
      </w:r>
      <w:r>
        <w:t xml:space="preserve">these two economies have experienced.  There are two basic </w:t>
      </w:r>
      <w:r w:rsidR="00C771D1">
        <w:t xml:space="preserve">factual </w:t>
      </w:r>
      <w:r>
        <w:t xml:space="preserve">differences between </w:t>
      </w:r>
      <w:r w:rsidR="00D20F2C">
        <w:t xml:space="preserve">China and Vietnam, on one hand, </w:t>
      </w:r>
      <w:r>
        <w:t xml:space="preserve">and </w:t>
      </w:r>
      <w:r w:rsidR="00C771D1">
        <w:t>Cuba</w:t>
      </w:r>
      <w:r w:rsidR="00B77C89">
        <w:t>,</w:t>
      </w:r>
      <w:r w:rsidR="00C771D1">
        <w:t xml:space="preserve"> </w:t>
      </w:r>
      <w:r w:rsidR="00D20F2C">
        <w:t>on the other</w:t>
      </w:r>
      <w:r w:rsidR="00B77C89">
        <w:t>,</w:t>
      </w:r>
      <w:r w:rsidR="00D20F2C">
        <w:t xml:space="preserve"> </w:t>
      </w:r>
      <w:r w:rsidR="00B77C89">
        <w:t xml:space="preserve">that </w:t>
      </w:r>
      <w:r w:rsidR="00C771D1">
        <w:t>mattered for their high growth rates</w:t>
      </w:r>
      <w:r w:rsidR="00B77C89">
        <w:t xml:space="preserve">.  It is </w:t>
      </w:r>
      <w:r w:rsidR="00C771D1">
        <w:t>impossible for Cuba to replicate</w:t>
      </w:r>
      <w:r w:rsidR="00B77C89">
        <w:t xml:space="preserve"> them</w:t>
      </w:r>
      <w:r w:rsidR="00C771D1">
        <w:t xml:space="preserve">.  The first fundamental difference </w:t>
      </w:r>
      <w:r w:rsidR="00AD2F52">
        <w:t xml:space="preserve">is </w:t>
      </w:r>
      <w:r w:rsidR="00B77C89">
        <w:t xml:space="preserve">potential </w:t>
      </w:r>
      <w:r w:rsidR="00AD2F52">
        <w:t>size</w:t>
      </w:r>
      <w:r w:rsidR="00B77C89">
        <w:t xml:space="preserve"> of the market--</w:t>
      </w:r>
      <w:r w:rsidR="00AD2F52">
        <w:t xml:space="preserve"> </w:t>
      </w:r>
      <w:r w:rsidR="00AE1662">
        <w:t xml:space="preserve"> </w:t>
      </w:r>
      <w:r w:rsidR="00AD2F52">
        <w:t>China’s population is 100 times Cuba’s</w:t>
      </w:r>
      <w:r w:rsidR="00B77C89">
        <w:t>;</w:t>
      </w:r>
      <w:r w:rsidR="00AD2F52">
        <w:t xml:space="preserve"> Vietnam’s population is between 6 and 7 times</w:t>
      </w:r>
      <w:r w:rsidR="00B77C89">
        <w:t xml:space="preserve"> as large as </w:t>
      </w:r>
      <w:r w:rsidR="00AD2F52">
        <w:t>Cuba</w:t>
      </w:r>
      <w:r w:rsidR="00B77C89">
        <w:t>’s</w:t>
      </w:r>
      <w:r w:rsidR="00AD2F52">
        <w:t xml:space="preserve">.  </w:t>
      </w:r>
    </w:p>
    <w:p w:rsidR="00533C5B" w:rsidRDefault="00AD2F52" w:rsidP="00B77C89">
      <w:pPr>
        <w:spacing w:line="480" w:lineRule="auto"/>
        <w:ind w:firstLine="720"/>
      </w:pPr>
      <w:r>
        <w:t xml:space="preserve">Size matters for economic growth at the micro level in two different ways that are often overlooked in the process of abstraction when thinking about growth phenomena in a macro context.  </w:t>
      </w:r>
      <w:r w:rsidR="00B77C89">
        <w:t>S</w:t>
      </w:r>
      <w:r>
        <w:t>ize matters in an elementary accounting way that implies multiplicative effects</w:t>
      </w:r>
      <w:r w:rsidR="0006751E">
        <w:t xml:space="preserve"> which are best illustrated with an example.</w:t>
      </w:r>
      <w:r>
        <w:t xml:space="preserve">  Consider the profits associated with a consumer product such as </w:t>
      </w:r>
      <w:r w:rsidR="003177CB">
        <w:t>a very fancy bar of soap</w:t>
      </w:r>
      <w:r w:rsidR="00533C5B">
        <w:t xml:space="preserve"> that </w:t>
      </w:r>
      <w:r w:rsidR="003177CB">
        <w:t>sells for $5 and generates</w:t>
      </w:r>
      <w:r w:rsidR="00533C5B">
        <w:t>, let us say for simplicity of arithmetic,</w:t>
      </w:r>
      <w:r w:rsidR="003177CB">
        <w:t xml:space="preserve"> $1 of profits per bar. </w:t>
      </w:r>
      <w:r>
        <w:t xml:space="preserve">  The actual amount of money an entrepreneur </w:t>
      </w:r>
      <w:r w:rsidR="003177CB">
        <w:t xml:space="preserve">or a company makes </w:t>
      </w:r>
      <w:r>
        <w:t xml:space="preserve">depends on the number of customers served.  </w:t>
      </w:r>
      <w:r w:rsidR="003177CB">
        <w:t xml:space="preserve"> </w:t>
      </w:r>
      <w:r>
        <w:t xml:space="preserve">Cuba’s </w:t>
      </w:r>
      <w:r w:rsidR="00315399">
        <w:t xml:space="preserve">market of about </w:t>
      </w:r>
      <w:r>
        <w:t xml:space="preserve">10 </w:t>
      </w:r>
      <w:r w:rsidR="0006751E">
        <w:t>million persons would generate 10 million dollars</w:t>
      </w:r>
      <w:r w:rsidR="002D7D01">
        <w:t xml:space="preserve"> </w:t>
      </w:r>
      <w:r w:rsidR="00533C5B">
        <w:t xml:space="preserve">of profits per year </w:t>
      </w:r>
      <w:r w:rsidR="002D7D01">
        <w:t>if everyone bought one bar per year;</w:t>
      </w:r>
      <w:r w:rsidR="0006751E">
        <w:t xml:space="preserve"> China’s </w:t>
      </w:r>
      <w:r w:rsidR="00315399">
        <w:t xml:space="preserve">market of about </w:t>
      </w:r>
      <w:r w:rsidR="0006751E">
        <w:t>one billion persons would generate $1 billion dollars</w:t>
      </w:r>
      <w:r w:rsidR="00533C5B">
        <w:t xml:space="preserve"> of profits</w:t>
      </w:r>
      <w:r w:rsidR="002D7D01">
        <w:t xml:space="preserve"> per year</w:t>
      </w:r>
      <w:r w:rsidR="00AE1662">
        <w:t xml:space="preserve"> in the same situation.</w:t>
      </w:r>
      <w:r w:rsidR="0006751E">
        <w:t xml:space="preserve">  </w:t>
      </w:r>
      <w:r w:rsidR="002D7D01">
        <w:t xml:space="preserve">If customers were to buy 10 bars per year, however, Cuba’s </w:t>
      </w:r>
      <w:r w:rsidR="00B77C89">
        <w:t>$</w:t>
      </w:r>
      <w:r w:rsidR="002D7D01">
        <w:t xml:space="preserve">10 million of profits would become </w:t>
      </w:r>
      <w:r w:rsidR="00B77C89">
        <w:t>$1</w:t>
      </w:r>
      <w:r w:rsidR="002D7D01">
        <w:t xml:space="preserve">00 million whereas China’s $1 billion would become </w:t>
      </w:r>
      <w:r w:rsidR="00B77C89">
        <w:t>$</w:t>
      </w:r>
      <w:r w:rsidR="002D7D01">
        <w:t xml:space="preserve">10 billion.  </w:t>
      </w:r>
      <w:r w:rsidR="00EA6132">
        <w:t>For simplicity</w:t>
      </w:r>
      <w:r w:rsidR="00517C52">
        <w:t xml:space="preserve"> of exposition</w:t>
      </w:r>
      <w:r w:rsidR="00EA6132">
        <w:t>, the above example ignores the possibility of competition in serving the countr</w:t>
      </w:r>
      <w:r w:rsidR="00517C52">
        <w:t>ies</w:t>
      </w:r>
      <w:r w:rsidR="00EA6132">
        <w:t xml:space="preserve">’ markets. </w:t>
      </w:r>
    </w:p>
    <w:p w:rsidR="00C6057A" w:rsidRDefault="00552E01" w:rsidP="0021047F">
      <w:pPr>
        <w:spacing w:line="480" w:lineRule="auto"/>
        <w:ind w:firstLine="720"/>
      </w:pPr>
      <w:r>
        <w:t>Note that t</w:t>
      </w:r>
      <w:r w:rsidR="002D7D01">
        <w:t>his</w:t>
      </w:r>
      <w:r w:rsidR="00533C5B">
        <w:t xml:space="preserve"> example</w:t>
      </w:r>
      <w:r w:rsidR="002D7D01">
        <w:t xml:space="preserve">, assumes there are no economies of scale anywhere in the process </w:t>
      </w:r>
      <w:r>
        <w:t>of producing and distributing the item. Moreover, it also d</w:t>
      </w:r>
      <w:r w:rsidR="002D7D01">
        <w:t xml:space="preserve">oes not take into account that any locally provided inputs </w:t>
      </w:r>
      <w:r w:rsidR="00533C5B">
        <w:t xml:space="preserve">which </w:t>
      </w:r>
      <w:r w:rsidR="002D7D01">
        <w:t xml:space="preserve">made profits would be subject to the same multiplicative mechanism.  </w:t>
      </w:r>
      <w:r w:rsidR="00BA3DEC">
        <w:t>If</w:t>
      </w:r>
      <w:r w:rsidR="002D7D01">
        <w:t xml:space="preserve"> capitalists</w:t>
      </w:r>
      <w:r w:rsidR="00C72037">
        <w:t>’</w:t>
      </w:r>
      <w:r w:rsidR="002D7D01">
        <w:t xml:space="preserve"> enterprises maximize profits</w:t>
      </w:r>
      <w:r w:rsidR="00533C5B">
        <w:t xml:space="preserve">, </w:t>
      </w:r>
      <w:r w:rsidR="00BA3DEC">
        <w:t xml:space="preserve">as they are presumed to, </w:t>
      </w:r>
      <w:r w:rsidR="00533C5B">
        <w:t>any economic production activity investing i</w:t>
      </w:r>
      <w:r w:rsidR="002D7D01">
        <w:t xml:space="preserve">n China is </w:t>
      </w:r>
      <w:r w:rsidR="00C72037">
        <w:t xml:space="preserve">annually </w:t>
      </w:r>
      <w:r w:rsidR="002D7D01">
        <w:t>10</w:t>
      </w:r>
      <w:r w:rsidR="00533C5B">
        <w:t>0</w:t>
      </w:r>
      <w:r w:rsidR="002D7D01">
        <w:t xml:space="preserve"> times more attractive </w:t>
      </w:r>
      <w:r w:rsidR="00C72037">
        <w:t>t</w:t>
      </w:r>
      <w:r w:rsidR="002D7D01">
        <w:t xml:space="preserve">han </w:t>
      </w:r>
      <w:r w:rsidR="00C72037">
        <w:t xml:space="preserve">one </w:t>
      </w:r>
      <w:r w:rsidR="002D7D01">
        <w:t>in</w:t>
      </w:r>
      <w:r w:rsidR="00533C5B">
        <w:t>vesting in Cuba</w:t>
      </w:r>
      <w:r w:rsidR="00C72037">
        <w:t>.</w:t>
      </w:r>
      <w:r w:rsidR="00533C5B">
        <w:t xml:space="preserve">  </w:t>
      </w:r>
      <w:r w:rsidR="00C72037">
        <w:t>Furthermore,</w:t>
      </w:r>
      <w:r>
        <w:t xml:space="preserve"> i</w:t>
      </w:r>
      <w:r w:rsidR="00533C5B">
        <w:t xml:space="preserve">f there are 1000 of those products, </w:t>
      </w:r>
      <w:r>
        <w:t xml:space="preserve">the Chinese economy </w:t>
      </w:r>
      <w:r w:rsidR="00533C5B">
        <w:t>generates 1</w:t>
      </w:r>
      <w:r w:rsidR="00535376">
        <w:t>00</w:t>
      </w:r>
      <w:r w:rsidR="00F75E20">
        <w:t>,</w:t>
      </w:r>
      <w:r w:rsidR="00535376">
        <w:t>000</w:t>
      </w:r>
      <w:r w:rsidR="00533C5B">
        <w:t xml:space="preserve"> times the profits </w:t>
      </w:r>
      <w:r>
        <w:t xml:space="preserve">from investing opportunities </w:t>
      </w:r>
      <w:r w:rsidR="00533C5B">
        <w:t xml:space="preserve">than </w:t>
      </w:r>
      <w:r w:rsidR="00F50385">
        <w:t xml:space="preserve">what can be </w:t>
      </w:r>
      <w:r w:rsidR="00C72037">
        <w:t xml:space="preserve">generated by </w:t>
      </w:r>
      <w:r w:rsidR="00533C5B">
        <w:t xml:space="preserve">investing in Cuba! </w:t>
      </w:r>
    </w:p>
    <w:p w:rsidR="004A613E" w:rsidRDefault="00EA6132" w:rsidP="0021047F">
      <w:pPr>
        <w:spacing w:line="480" w:lineRule="auto"/>
        <w:ind w:firstLine="720"/>
      </w:pPr>
      <w:r>
        <w:t xml:space="preserve">In addition </w:t>
      </w:r>
      <w:r w:rsidR="00552E01">
        <w:t xml:space="preserve">size </w:t>
      </w:r>
      <w:r>
        <w:t xml:space="preserve">also </w:t>
      </w:r>
      <w:r w:rsidR="00552E01">
        <w:t xml:space="preserve">matters </w:t>
      </w:r>
      <w:r>
        <w:t xml:space="preserve">in </w:t>
      </w:r>
      <w:r w:rsidR="00517C52">
        <w:t xml:space="preserve">determining </w:t>
      </w:r>
      <w:r w:rsidR="00552E01">
        <w:t xml:space="preserve">the </w:t>
      </w:r>
      <w:r>
        <w:t>impact</w:t>
      </w:r>
      <w:r w:rsidR="00552E01">
        <w:t xml:space="preserve"> of uncertainty </w:t>
      </w:r>
      <w:r w:rsidR="00517C52">
        <w:t>on</w:t>
      </w:r>
      <w:r w:rsidR="00552E01">
        <w:t xml:space="preserve"> economic </w:t>
      </w:r>
      <w:r>
        <w:t xml:space="preserve">investments </w:t>
      </w:r>
      <w:r w:rsidR="00552E01">
        <w:t>decision</w:t>
      </w:r>
      <w:r>
        <w:t>s</w:t>
      </w:r>
      <w:r w:rsidR="00517C52">
        <w:t xml:space="preserve">.  The latter </w:t>
      </w:r>
      <w:r w:rsidR="00552E01">
        <w:t xml:space="preserve">was </w:t>
      </w:r>
      <w:r w:rsidR="001E0BF6">
        <w:t>ignored when</w:t>
      </w:r>
      <w:r w:rsidR="00552E01">
        <w:t xml:space="preserve"> considering the multiplicative mechanism above.  In the face of uncertainty, </w:t>
      </w:r>
      <w:r w:rsidR="00C72037">
        <w:t xml:space="preserve">however, </w:t>
      </w:r>
      <w:r w:rsidR="004A613E">
        <w:t xml:space="preserve">elementary analysis </w:t>
      </w:r>
      <w:r w:rsidR="00517C52">
        <w:t xml:space="preserve">requires </w:t>
      </w:r>
      <w:r w:rsidR="004A613E">
        <w:t xml:space="preserve">that </w:t>
      </w:r>
      <w:r w:rsidR="00552E01">
        <w:t xml:space="preserve">investors consider not only the expected gains from </w:t>
      </w:r>
      <w:r w:rsidR="005C11E3">
        <w:t>an investment</w:t>
      </w:r>
      <w:r w:rsidR="00C72037">
        <w:t>,</w:t>
      </w:r>
      <w:r w:rsidR="005C11E3">
        <w:t xml:space="preserve"> </w:t>
      </w:r>
      <w:r w:rsidR="00552E01">
        <w:t>but also the level of risk associated with any particular investment</w:t>
      </w:r>
      <w:r w:rsidR="005C11E3">
        <w:t>.  Indeed, there is a</w:t>
      </w:r>
      <w:r w:rsidR="00330C50">
        <w:t xml:space="preserve"> trade-off between both dimensions in evaluating an</w:t>
      </w:r>
      <w:r w:rsidR="005C11E3">
        <w:t>y</w:t>
      </w:r>
      <w:r w:rsidR="00330C50">
        <w:t xml:space="preserve"> individual investment.</w:t>
      </w:r>
      <w:r w:rsidR="00552E01">
        <w:t xml:space="preserve">   Investors will consider</w:t>
      </w:r>
      <w:r w:rsidR="00C72037">
        <w:t>,</w:t>
      </w:r>
      <w:r w:rsidR="00552E01">
        <w:t xml:space="preserve"> for any given level of risk</w:t>
      </w:r>
      <w:r w:rsidR="00C72037">
        <w:t>,</w:t>
      </w:r>
      <w:r w:rsidR="00552E01">
        <w:t xml:space="preserve"> the expected gains </w:t>
      </w:r>
      <w:r w:rsidR="004A613E">
        <w:t>from the project</w:t>
      </w:r>
      <w:r w:rsidR="00FC3B85">
        <w:t>, i.e.,</w:t>
      </w:r>
      <w:r w:rsidR="004A613E">
        <w:t xml:space="preserve"> for any given amount of money put </w:t>
      </w:r>
      <w:r w:rsidR="00FC3B85">
        <w:t xml:space="preserve">in </w:t>
      </w:r>
      <w:r w:rsidR="004A613E">
        <w:t xml:space="preserve">what do they </w:t>
      </w:r>
      <w:r w:rsidR="00C72037">
        <w:t xml:space="preserve">expect to </w:t>
      </w:r>
      <w:r w:rsidR="004A613E">
        <w:t xml:space="preserve">get out in profits. </w:t>
      </w:r>
      <w:r w:rsidR="00C72037">
        <w:t xml:space="preserve"> </w:t>
      </w:r>
      <w:r w:rsidR="005C11E3">
        <w:t>Elementary decision making theory yields the result that investors</w:t>
      </w:r>
      <w:r w:rsidR="004A613E">
        <w:t xml:space="preserve"> are more likely to invest the higher are the expected gains for any given level of risk.</w:t>
      </w:r>
      <w:r w:rsidR="00552E01">
        <w:t xml:space="preserve">  </w:t>
      </w:r>
    </w:p>
    <w:p w:rsidR="008B7EC5" w:rsidRDefault="004A613E" w:rsidP="0021047F">
      <w:pPr>
        <w:spacing w:line="480" w:lineRule="auto"/>
        <w:ind w:firstLine="720"/>
      </w:pPr>
      <w:r>
        <w:t>One can also use t</w:t>
      </w:r>
      <w:r w:rsidR="00552E01">
        <w:t xml:space="preserve">he prior example </w:t>
      </w:r>
      <w:r>
        <w:t xml:space="preserve">to </w:t>
      </w:r>
      <w:r w:rsidR="00552E01">
        <w:t xml:space="preserve">illustrate why size matters </w:t>
      </w:r>
      <w:r w:rsidR="005C11E3">
        <w:t>as a result of uncertainty.</w:t>
      </w:r>
      <w:r w:rsidR="00552E01">
        <w:t xml:space="preserve"> </w:t>
      </w:r>
      <w:r w:rsidR="005C11E3">
        <w:t xml:space="preserve"> </w:t>
      </w:r>
      <w:r w:rsidR="00552E01">
        <w:t xml:space="preserve">The number of investments </w:t>
      </w:r>
      <w:r w:rsidR="00330C50">
        <w:t xml:space="preserve">in fancy soap factories </w:t>
      </w:r>
      <w:r w:rsidR="00552E01">
        <w:t>that will be attractive</w:t>
      </w:r>
      <w:r w:rsidR="00330C50">
        <w:t xml:space="preserve"> to risk</w:t>
      </w:r>
      <w:r w:rsidR="0023624A">
        <w:t>-</w:t>
      </w:r>
      <w:r w:rsidR="00330C50">
        <w:t>averse investors in</w:t>
      </w:r>
      <w:r w:rsidR="00552E01">
        <w:t xml:space="preserve"> </w:t>
      </w:r>
      <w:r w:rsidR="00330C50">
        <w:t>C</w:t>
      </w:r>
      <w:r w:rsidR="00552E01">
        <w:t>hina</w:t>
      </w:r>
      <w:r w:rsidR="0023624A">
        <w:t>,</w:t>
      </w:r>
      <w:r w:rsidR="00552E01">
        <w:t xml:space="preserve"> </w:t>
      </w:r>
      <w:r w:rsidR="00330C50">
        <w:t xml:space="preserve">for any </w:t>
      </w:r>
      <w:r w:rsidR="00552E01">
        <w:t>given level of risk</w:t>
      </w:r>
      <w:r w:rsidR="0023624A">
        <w:t>,</w:t>
      </w:r>
      <w:r w:rsidR="00552E01">
        <w:t xml:space="preserve"> will be far greater than in Cuba</w:t>
      </w:r>
      <w:r w:rsidR="00330C50">
        <w:t xml:space="preserve"> because the expected gains from </w:t>
      </w:r>
      <w:r w:rsidR="005C11E3">
        <w:t xml:space="preserve">the investment </w:t>
      </w:r>
      <w:r w:rsidR="00330C50">
        <w:t xml:space="preserve"> will be larger.  </w:t>
      </w:r>
      <w:r>
        <w:t>M</w:t>
      </w:r>
      <w:r w:rsidR="00330C50">
        <w:t xml:space="preserve">any projects that will not be worthwhile to undertake in Cuba due to the existence of expropriation risk, for example, would be attractive to undertake in China despite the existence of the same level of </w:t>
      </w:r>
      <w:r w:rsidR="005C11E3">
        <w:t xml:space="preserve">expropriation </w:t>
      </w:r>
      <w:r w:rsidR="00330C50">
        <w:t>risk</w:t>
      </w:r>
      <w:r w:rsidR="00D52508">
        <w:t>.</w:t>
      </w:r>
      <w:r>
        <w:t xml:space="preserve">  In sum China’s investment rate should be a lot higher than Cuba’s due to its size </w:t>
      </w:r>
      <w:r w:rsidR="00526C6E">
        <w:t xml:space="preserve">generating larger multiplicative effects and more investments for a given level of risk </w:t>
      </w:r>
      <w:r>
        <w:t xml:space="preserve">and, consequently, its growth rate should be </w:t>
      </w:r>
      <w:r w:rsidR="007555D1">
        <w:t xml:space="preserve">substantially </w:t>
      </w:r>
      <w:r>
        <w:t>higher.</w:t>
      </w:r>
    </w:p>
    <w:p w:rsidR="005C11E3" w:rsidRDefault="007555D1" w:rsidP="005C11E3">
      <w:pPr>
        <w:spacing w:line="480" w:lineRule="auto"/>
        <w:ind w:firstLine="720"/>
      </w:pPr>
      <w:r>
        <w:t>A second factual difference between China or Vietnam and Cuba arises because of the size of their agricultural sector in the economy at the beginning of the market liberalizations process.  In 1980 China</w:t>
      </w:r>
      <w:r w:rsidR="00BA3DEC">
        <w:t>’</w:t>
      </w:r>
      <w:r>
        <w:t>s agricultur</w:t>
      </w:r>
      <w:r w:rsidR="0023624A">
        <w:t>al</w:t>
      </w:r>
      <w:r>
        <w:t xml:space="preserve"> share </w:t>
      </w:r>
      <w:r w:rsidR="00CF3079">
        <w:t>of</w:t>
      </w:r>
      <w:r>
        <w:t xml:space="preserve"> GDP was greater than 30%; in 1990 Vietnam’s was greater than 40%.  By 2012 China’s share had </w:t>
      </w:r>
      <w:r w:rsidR="0023624A">
        <w:t>fallen</w:t>
      </w:r>
      <w:r>
        <w:t xml:space="preserve"> to 10% and Vietnam’s </w:t>
      </w:r>
      <w:r w:rsidR="0023624A">
        <w:t>t</w:t>
      </w:r>
      <w:r>
        <w:t>o 19.3%. By contrast</w:t>
      </w:r>
      <w:r w:rsidR="0023624A">
        <w:t>,</w:t>
      </w:r>
      <w:r>
        <w:t xml:space="preserve"> Cuba’s </w:t>
      </w:r>
      <w:r w:rsidR="0023624A">
        <w:t xml:space="preserve">agricultural share </w:t>
      </w:r>
      <w:r>
        <w:t xml:space="preserve">of GDP </w:t>
      </w:r>
      <w:r w:rsidR="00CF3079">
        <w:t xml:space="preserve">in </w:t>
      </w:r>
      <w:r>
        <w:t>2012</w:t>
      </w:r>
      <w:r w:rsidR="0023624A">
        <w:t xml:space="preserve"> </w:t>
      </w:r>
      <w:r>
        <w:t>was 3.8%</w:t>
      </w:r>
      <w:r w:rsidR="00CF3079">
        <w:t>.</w:t>
      </w:r>
      <w:r w:rsidR="0024160A">
        <w:rPr>
          <w:rStyle w:val="FootnoteReference"/>
        </w:rPr>
        <w:footnoteReference w:id="3"/>
      </w:r>
      <w:r w:rsidR="00CF3079">
        <w:t xml:space="preserve">  Since W. A. Lewis </w:t>
      </w:r>
      <w:r w:rsidR="00063369">
        <w:t xml:space="preserve">(1954) </w:t>
      </w:r>
      <w:r w:rsidR="00CF3079">
        <w:t xml:space="preserve">famous essay </w:t>
      </w:r>
      <w:r w:rsidR="0023624A">
        <w:t xml:space="preserve">economists have known that </w:t>
      </w:r>
      <w:r w:rsidR="00CF3079">
        <w:t xml:space="preserve">an essential characteristic of the development process is the transfer of labor from low productivity activities in rural areas to higher productivity activities in urban areas.  </w:t>
      </w:r>
    </w:p>
    <w:p w:rsidR="007555D1" w:rsidRDefault="00EB0226" w:rsidP="005C11E3">
      <w:pPr>
        <w:spacing w:line="480" w:lineRule="auto"/>
        <w:ind w:firstLine="720"/>
      </w:pPr>
      <w:r>
        <w:t xml:space="preserve">More recently </w:t>
      </w:r>
      <w:r w:rsidR="00CF3079">
        <w:t>growth accounting exercises a l</w:t>
      </w:r>
      <w:r w:rsidR="0023624A">
        <w:t>á</w:t>
      </w:r>
      <w:r w:rsidR="00CF3079">
        <w:t xml:space="preserve"> Denison </w:t>
      </w:r>
      <w:r>
        <w:t>(196</w:t>
      </w:r>
      <w:r w:rsidR="00C70028">
        <w:t>7</w:t>
      </w:r>
      <w:r>
        <w:t xml:space="preserve">) </w:t>
      </w:r>
      <w:r w:rsidR="00CF3079">
        <w:t xml:space="preserve">have tried to estimate what percentage of the growth attributed to the </w:t>
      </w:r>
      <w:r w:rsidR="005035C9">
        <w:t xml:space="preserve">Solow </w:t>
      </w:r>
      <w:r w:rsidR="00CF3079">
        <w:t xml:space="preserve">residual called technical change is accounted for </w:t>
      </w:r>
      <w:r w:rsidR="005C11E3">
        <w:t>by</w:t>
      </w:r>
      <w:r w:rsidR="00CF3079">
        <w:t xml:space="preserve"> shifts from</w:t>
      </w:r>
      <w:r w:rsidR="00146C31">
        <w:t xml:space="preserve"> </w:t>
      </w:r>
      <w:r w:rsidR="00CF3079">
        <w:t xml:space="preserve">low productivity activities to higher productivity ones.  Whatever percentage of the Chinese or Vietnamese growth rate </w:t>
      </w:r>
      <w:r w:rsidR="0023624A">
        <w:t>may be</w:t>
      </w:r>
      <w:r w:rsidR="00CF3079">
        <w:t xml:space="preserve"> due to this shift toward more productive </w:t>
      </w:r>
      <w:r w:rsidR="00C70028">
        <w:t xml:space="preserve">non-agricultural </w:t>
      </w:r>
      <w:r w:rsidR="00CF3079">
        <w:t>activities</w:t>
      </w:r>
      <w:r w:rsidR="0023624A">
        <w:t xml:space="preserve">, it </w:t>
      </w:r>
      <w:r w:rsidR="00CF3079">
        <w:t xml:space="preserve">will be </w:t>
      </w:r>
      <w:r w:rsidR="005C11E3">
        <w:t>close to non-existent</w:t>
      </w:r>
      <w:r w:rsidR="00CF3079">
        <w:t xml:space="preserve"> in Cuba</w:t>
      </w:r>
      <w:r w:rsidR="00517C52">
        <w:t xml:space="preserve">.  It is </w:t>
      </w:r>
      <w:r w:rsidR="005035C9">
        <w:t>impossib</w:t>
      </w:r>
      <w:r w:rsidR="00517C52">
        <w:t>le</w:t>
      </w:r>
      <w:r w:rsidR="005035C9">
        <w:t xml:space="preserve"> </w:t>
      </w:r>
      <w:r w:rsidR="00517C52">
        <w:t xml:space="preserve">to </w:t>
      </w:r>
      <w:r w:rsidR="00CF3079">
        <w:t xml:space="preserve">shift </w:t>
      </w:r>
      <w:r w:rsidR="005035C9">
        <w:t xml:space="preserve">many </w:t>
      </w:r>
      <w:r w:rsidR="00CF3079">
        <w:t>productive resources from agriculture to other sectors</w:t>
      </w:r>
      <w:r w:rsidR="00517C52">
        <w:t xml:space="preserve"> when agriculture’s share of GDP is as low as it is in Cuba!</w:t>
      </w:r>
      <w:r w:rsidR="006F18DE">
        <w:rPr>
          <w:rStyle w:val="FootnoteReference"/>
        </w:rPr>
        <w:footnoteReference w:id="4"/>
      </w:r>
      <w:r w:rsidR="00CF3079">
        <w:t xml:space="preserve"> </w:t>
      </w:r>
    </w:p>
    <w:p w:rsidR="00DF55BC" w:rsidRDefault="00023007" w:rsidP="00681B8A">
      <w:pPr>
        <w:spacing w:line="480" w:lineRule="auto"/>
        <w:ind w:firstLine="720"/>
      </w:pPr>
      <w:r>
        <w:t xml:space="preserve">Finally, there is a third </w:t>
      </w:r>
      <w:r w:rsidR="00EB0226">
        <w:t>factor</w:t>
      </w:r>
      <w:r w:rsidR="00C70028">
        <w:t xml:space="preserve"> related </w:t>
      </w:r>
      <w:r w:rsidR="00EB0226">
        <w:t xml:space="preserve">to the </w:t>
      </w:r>
      <w:r w:rsidR="00C70028">
        <w:t>nature of markets</w:t>
      </w:r>
      <w:r w:rsidR="00BA3DEC">
        <w:t>,</w:t>
      </w:r>
      <w:r w:rsidR="00C70028">
        <w:t xml:space="preserve"> </w:t>
      </w:r>
      <w:r w:rsidR="00B33E99">
        <w:t>that</w:t>
      </w:r>
      <w:r w:rsidR="00EB0226">
        <w:t xml:space="preserve"> is f</w:t>
      </w:r>
      <w:r>
        <w:t xml:space="preserve">ar more subtle </w:t>
      </w:r>
      <w:r w:rsidR="00B33E99">
        <w:t xml:space="preserve">than the previous two </w:t>
      </w:r>
      <w:r w:rsidR="00C70028">
        <w:t xml:space="preserve">since it depends </w:t>
      </w:r>
      <w:r w:rsidR="00EB0226">
        <w:t>on the role of government in different types of markets</w:t>
      </w:r>
      <w:r w:rsidR="00BA3DEC">
        <w:t xml:space="preserve">, </w:t>
      </w:r>
      <w:r w:rsidR="00B33E99">
        <w:t>which</w:t>
      </w:r>
      <w:r w:rsidR="00BA3DEC">
        <w:t xml:space="preserve"> affects potential growth rates</w:t>
      </w:r>
      <w:r w:rsidR="00C70028">
        <w:t xml:space="preserve">.  This factor is </w:t>
      </w:r>
      <w:r w:rsidR="00EB0226">
        <w:t xml:space="preserve">likely to </w:t>
      </w:r>
      <w:r w:rsidR="00121078">
        <w:t>limit</w:t>
      </w:r>
      <w:r>
        <w:t xml:space="preserve"> Cuba’s ability to grow very rapidly based on the</w:t>
      </w:r>
      <w:r w:rsidR="00EB0226">
        <w:t xml:space="preserve"> current </w:t>
      </w:r>
      <w:r>
        <w:t>market liberalizations</w:t>
      </w:r>
      <w:r w:rsidR="00517C52">
        <w:t>,</w:t>
      </w:r>
      <w:r w:rsidR="00EB0226">
        <w:t xml:space="preserve"> </w:t>
      </w:r>
      <w:r w:rsidR="00517C52">
        <w:t xml:space="preserve">barring </w:t>
      </w:r>
      <w:r w:rsidR="00EB0226">
        <w:t>other changes.</w:t>
      </w:r>
      <w:r w:rsidR="00F37426">
        <w:t xml:space="preserve"> Agricultural markets have been described as spontaneous </w:t>
      </w:r>
      <w:r w:rsidR="00681B8A">
        <w:t xml:space="preserve">or irrepressible </w:t>
      </w:r>
      <w:r w:rsidR="00F37426">
        <w:t xml:space="preserve">markets and contrasted to </w:t>
      </w:r>
      <w:r w:rsidR="00BA3DEC">
        <w:t xml:space="preserve">some types of </w:t>
      </w:r>
      <w:r w:rsidR="00F37426">
        <w:t xml:space="preserve">modern markets, which are described as ‘socially contrived’ markets, </w:t>
      </w:r>
      <w:r w:rsidR="00681B8A">
        <w:t xml:space="preserve">Clague, Keefer, Knack and Olson (1999).  </w:t>
      </w:r>
      <w:r w:rsidR="00DF55BC">
        <w:t xml:space="preserve">Examples of socially contrived markets would be insurance markets and financial markets, including mortgage markets.  </w:t>
      </w:r>
    </w:p>
    <w:p w:rsidR="00E36ED5" w:rsidRDefault="00681B8A" w:rsidP="00681B8A">
      <w:pPr>
        <w:spacing w:line="480" w:lineRule="auto"/>
        <w:ind w:firstLine="720"/>
      </w:pPr>
      <w:r>
        <w:t>Since the benefits of transactions in</w:t>
      </w:r>
      <w:r w:rsidR="00DF55BC">
        <w:t xml:space="preserve"> agricultural markets </w:t>
      </w:r>
      <w:r>
        <w:t xml:space="preserve">tend to be simultaneous in space and time, </w:t>
      </w:r>
      <w:r w:rsidR="00DF55BC">
        <w:t xml:space="preserve">if governments provide </w:t>
      </w:r>
      <w:r>
        <w:t>a minimum of law and order</w:t>
      </w:r>
      <w:r w:rsidR="005F09D2">
        <w:t>,</w:t>
      </w:r>
      <w:r w:rsidR="00DF55BC">
        <w:t xml:space="preserve"> they can function at a relatively high level of transactions.</w:t>
      </w:r>
      <w:r>
        <w:t xml:space="preserve">  </w:t>
      </w:r>
      <w:r w:rsidR="00DF55BC">
        <w:t xml:space="preserve"> Socially contrived markets</w:t>
      </w:r>
      <w:r>
        <w:t xml:space="preserve">, however, are characterized by transactions where the benefits to one party </w:t>
      </w:r>
      <w:r w:rsidR="00DF55BC">
        <w:t>(</w:t>
      </w:r>
      <w:r w:rsidR="00915067">
        <w:t xml:space="preserve">e.g., </w:t>
      </w:r>
      <w:r w:rsidR="00DF55BC">
        <w:t xml:space="preserve">receipt of monthly insurance payments by the insurer) </w:t>
      </w:r>
      <w:r>
        <w:t xml:space="preserve">differ from the benefits to the other one </w:t>
      </w:r>
      <w:r w:rsidR="00DF55BC">
        <w:t>(</w:t>
      </w:r>
      <w:r w:rsidR="00915067">
        <w:t xml:space="preserve">e.g., </w:t>
      </w:r>
      <w:r w:rsidR="00DF55BC">
        <w:t xml:space="preserve">payment of death benefits to the family upon the demise of the insured) </w:t>
      </w:r>
      <w:r>
        <w:t xml:space="preserve">in terms of when they accrue and where they accrue.  </w:t>
      </w:r>
      <w:r w:rsidR="00DF55BC">
        <w:t>Because of this feature</w:t>
      </w:r>
      <w:r w:rsidR="00915067">
        <w:t>, in these markets</w:t>
      </w:r>
      <w:r w:rsidR="00DF55BC">
        <w:t xml:space="preserve"> the opportunities for one party to defraud the other are very wide</w:t>
      </w:r>
      <w:r w:rsidR="00517C52">
        <w:t>spread</w:t>
      </w:r>
      <w:r w:rsidR="00915067">
        <w:t>.</w:t>
      </w:r>
      <w:r w:rsidR="00517C52">
        <w:t xml:space="preserve"> Simply put, they </w:t>
      </w:r>
      <w:r w:rsidR="00DF55BC">
        <w:t xml:space="preserve">will not exist or function at a high level of </w:t>
      </w:r>
      <w:r w:rsidR="005B3CB1">
        <w:t xml:space="preserve">transactions </w:t>
      </w:r>
      <w:r w:rsidR="00DF55BC">
        <w:t xml:space="preserve">for any length of time in the absence of </w:t>
      </w:r>
      <w:r w:rsidR="00517C52">
        <w:t xml:space="preserve">powerful </w:t>
      </w:r>
      <w:r w:rsidR="00DF55BC">
        <w:t>contract enforcement mechanisms</w:t>
      </w:r>
      <w:r w:rsidR="005B3CB1">
        <w:t xml:space="preserve">. </w:t>
      </w:r>
    </w:p>
    <w:p w:rsidR="00E36ED5" w:rsidRDefault="00E36ED5" w:rsidP="00681B8A">
      <w:pPr>
        <w:spacing w:line="480" w:lineRule="auto"/>
        <w:ind w:firstLine="720"/>
      </w:pPr>
      <w:r>
        <w:t>While t</w:t>
      </w:r>
      <w:r w:rsidR="005B3CB1">
        <w:t>h</w:t>
      </w:r>
      <w:r>
        <w:t>e rule of law provides one of the best</w:t>
      </w:r>
      <w:r w:rsidR="00915067">
        <w:t>,</w:t>
      </w:r>
      <w:r>
        <w:t xml:space="preserve"> </w:t>
      </w:r>
      <w:r w:rsidR="00517C52">
        <w:t>if not the best</w:t>
      </w:r>
      <w:r w:rsidR="00915067">
        <w:t>,</w:t>
      </w:r>
      <w:r w:rsidR="00517C52">
        <w:t xml:space="preserve"> </w:t>
      </w:r>
      <w:r w:rsidR="005B3CB1">
        <w:t>contract enforcement mechanism for these types of markets</w:t>
      </w:r>
      <w:r>
        <w:t>,</w:t>
      </w:r>
      <w:r w:rsidR="005B3CB1">
        <w:t xml:space="preserve"> in terms of breadth of coverage of transactions and depth of impartiality</w:t>
      </w:r>
      <w:r w:rsidR="00915067">
        <w:t xml:space="preserve"> in coverage,</w:t>
      </w:r>
      <w:r>
        <w:t xml:space="preserve"> it is not the only one</w:t>
      </w:r>
      <w:r w:rsidR="005B3CB1">
        <w:t xml:space="preserve">.  </w:t>
      </w:r>
      <w:r>
        <w:t>Breaking knees and corruption as part of relational contracts can also work, but have obvious drawback</w:t>
      </w:r>
      <w:r w:rsidR="00121078">
        <w:t>s</w:t>
      </w:r>
      <w:r>
        <w:t xml:space="preserve">.  </w:t>
      </w:r>
      <w:r w:rsidR="005B3CB1">
        <w:t>Betancourt (2004) uses the extent of protection of civil liberties as the best indicator of a government’s commitment to the rule of law.</w:t>
      </w:r>
      <w:r w:rsidR="00B24F06">
        <w:t xml:space="preserve">  </w:t>
      </w:r>
      <w:r w:rsidR="00CC7E89">
        <w:t>C</w:t>
      </w:r>
      <w:r w:rsidR="005B3CB1">
        <w:t xml:space="preserve">ivil liberties </w:t>
      </w:r>
      <w:r w:rsidR="00433E43">
        <w:t xml:space="preserve">impact on economic growth </w:t>
      </w:r>
      <w:r w:rsidR="00CC7E89">
        <w:t xml:space="preserve">works </w:t>
      </w:r>
      <w:r w:rsidR="00BA3DEC">
        <w:t xml:space="preserve">through its effect on </w:t>
      </w:r>
      <w:r w:rsidR="00CC7E89">
        <w:t xml:space="preserve">allowing </w:t>
      </w:r>
      <w:r w:rsidR="00BA3DEC">
        <w:t xml:space="preserve">socially contrived markets </w:t>
      </w:r>
      <w:r w:rsidR="00CC7E89">
        <w:t xml:space="preserve">to operate at a high level of transactions.  The basic logic is </w:t>
      </w:r>
      <w:r>
        <w:t xml:space="preserve">that they operate in a similar manner as </w:t>
      </w:r>
      <w:r w:rsidR="009C2722">
        <w:t xml:space="preserve">a </w:t>
      </w:r>
      <w:r w:rsidR="005B3CB1">
        <w:t>relational co</w:t>
      </w:r>
      <w:r w:rsidR="00433E43">
        <w:t>n</w:t>
      </w:r>
      <w:r w:rsidR="005B3CB1">
        <w:t>straint</w:t>
      </w:r>
      <w:r w:rsidR="00433E43">
        <w:t xml:space="preserve"> </w:t>
      </w:r>
      <w:r>
        <w:t xml:space="preserve">operates </w:t>
      </w:r>
      <w:r w:rsidR="00433E43">
        <w:t xml:space="preserve">in the nonlinear dynamical systems of complexity theory.  </w:t>
      </w:r>
    </w:p>
    <w:p w:rsidR="00E3099C" w:rsidRDefault="00433E43" w:rsidP="00681B8A">
      <w:pPr>
        <w:spacing w:line="480" w:lineRule="auto"/>
        <w:ind w:firstLine="720"/>
      </w:pPr>
      <w:r>
        <w:t xml:space="preserve">Relational constraints </w:t>
      </w:r>
      <w:r w:rsidR="00EC2928">
        <w:t>have a dual role</w:t>
      </w:r>
      <w:r w:rsidR="00FE5B9D">
        <w:t xml:space="preserve"> (stemming from their origin in information theory, Shannon 1948)</w:t>
      </w:r>
      <w:r w:rsidR="00EC2928">
        <w:t xml:space="preserve"> in that by limiting one dimension of activity (a government’s ability to expropriate citizens</w:t>
      </w:r>
      <w:r w:rsidR="00915067">
        <w:t>,</w:t>
      </w:r>
      <w:r w:rsidR="00EC2928">
        <w:t xml:space="preserve"> for example) they can enhance the range of activities </w:t>
      </w:r>
      <w:r w:rsidR="00C56E86">
        <w:t xml:space="preserve">that can take place </w:t>
      </w:r>
      <w:r w:rsidR="00EC2928">
        <w:t>in other dimensions (citizens</w:t>
      </w:r>
      <w:r w:rsidR="00FB62E1">
        <w:t>’</w:t>
      </w:r>
      <w:r w:rsidR="00EC2928">
        <w:t xml:space="preserve"> willingness to invest as a result of the reduction in uncertainty about expropriation)</w:t>
      </w:r>
      <w:r w:rsidR="00C56E86">
        <w:t xml:space="preserve"> and </w:t>
      </w:r>
      <w:r w:rsidR="009C2722">
        <w:t>can be viewed as</w:t>
      </w:r>
      <w:r w:rsidR="00C56E86">
        <w:t xml:space="preserve"> a causal </w:t>
      </w:r>
      <w:r w:rsidR="00FE5B9D">
        <w:t xml:space="preserve">engine </w:t>
      </w:r>
      <w:r w:rsidR="00C56E86">
        <w:t>“….that drives creative evolution, not through forceful</w:t>
      </w:r>
      <w:r w:rsidR="00FE5B9D">
        <w:t xml:space="preserve"> impact, but by making things interdependent</w:t>
      </w:r>
      <w:r w:rsidR="00915067">
        <w:t>,</w:t>
      </w:r>
      <w:r w:rsidR="00E3099C">
        <w:t>”</w:t>
      </w:r>
      <w:r w:rsidR="00EC2928">
        <w:t xml:space="preserve">  </w:t>
      </w:r>
      <w:r w:rsidR="00FB62E1">
        <w:t>Juarrero (1999, Ch.9</w:t>
      </w:r>
      <w:r w:rsidR="00FE5B9D">
        <w:t>: p.150</w:t>
      </w:r>
      <w:r w:rsidR="00FB62E1">
        <w:t>)</w:t>
      </w:r>
      <w:r w:rsidR="00FE5B9D">
        <w:t xml:space="preserve">. Thus, in contrast to the standard </w:t>
      </w:r>
      <w:r w:rsidR="00E3099C">
        <w:t xml:space="preserve">constraints of economics </w:t>
      </w:r>
      <w:r w:rsidR="00FE5B9D">
        <w:t>they can increase welfare</w:t>
      </w:r>
      <w:r w:rsidR="00E3099C">
        <w:t xml:space="preserve"> by </w:t>
      </w:r>
      <w:r w:rsidR="00610A03">
        <w:t xml:space="preserve">reducing uncertainty in one dimension and </w:t>
      </w:r>
      <w:r w:rsidR="00E3099C">
        <w:t>allowing new institutional forms to come into existence</w:t>
      </w:r>
      <w:r w:rsidR="00542AFB">
        <w:t xml:space="preserve"> in other dimensions</w:t>
      </w:r>
      <w:r w:rsidR="00E3099C">
        <w:t xml:space="preserve">.  </w:t>
      </w:r>
      <w:r w:rsidR="00B24F06">
        <w:t xml:space="preserve"> In this </w:t>
      </w:r>
      <w:r w:rsidR="00542AFB">
        <w:t xml:space="preserve">setting, they do so by allowing the emergence of </w:t>
      </w:r>
      <w:r w:rsidR="00B24F06">
        <w:t xml:space="preserve">a set of institutions </w:t>
      </w:r>
      <w:r w:rsidR="00542AFB">
        <w:t xml:space="preserve">which </w:t>
      </w:r>
      <w:r w:rsidR="00B24F06">
        <w:t xml:space="preserve">support high levels of operations in </w:t>
      </w:r>
      <w:r w:rsidR="00610A03">
        <w:t xml:space="preserve">the </w:t>
      </w:r>
      <w:r w:rsidR="00B24F06">
        <w:t>socially contrived markets</w:t>
      </w:r>
      <w:r w:rsidR="00610A03">
        <w:t xml:space="preserve"> that </w:t>
      </w:r>
      <w:r w:rsidR="00CC7E89">
        <w:t>are essential for</w:t>
      </w:r>
      <w:r w:rsidR="00610A03">
        <w:t xml:space="preserve"> economic growth in modern economies</w:t>
      </w:r>
      <w:r w:rsidR="00CC7E89">
        <w:t xml:space="preserve"> over the long term.</w:t>
      </w:r>
    </w:p>
    <w:p w:rsidR="005B3CB1" w:rsidRDefault="00E3099C" w:rsidP="00681B8A">
      <w:pPr>
        <w:spacing w:line="480" w:lineRule="auto"/>
        <w:ind w:firstLine="720"/>
      </w:pPr>
      <w:r>
        <w:t xml:space="preserve">An example of how </w:t>
      </w:r>
      <w:r w:rsidR="0019547D">
        <w:t xml:space="preserve">relational constraints operate </w:t>
      </w:r>
      <w:r>
        <w:t>in an economic subsystem is provided by Betancourt and Gautschi’s (2001) analysis</w:t>
      </w:r>
      <w:r w:rsidR="0019547D">
        <w:t xml:space="preserve"> of service institutions</w:t>
      </w:r>
      <w:r w:rsidR="00286EFC">
        <w:t xml:space="preserve">.  They illustrate </w:t>
      </w:r>
      <w:r>
        <w:t>how modern technologies</w:t>
      </w:r>
      <w:r w:rsidR="00915067">
        <w:t>,</w:t>
      </w:r>
      <w:r>
        <w:t xml:space="preserve"> </w:t>
      </w:r>
      <w:r w:rsidR="009C2722">
        <w:t>by limiting one dimension of activity</w:t>
      </w:r>
      <w:r w:rsidR="00610A03">
        <w:t xml:space="preserve"> </w:t>
      </w:r>
      <w:r w:rsidR="009C2722">
        <w:t>(namely separating the production distribution and consumption of a good or service in space and/or  time)</w:t>
      </w:r>
      <w:r w:rsidR="00915067">
        <w:t>,</w:t>
      </w:r>
      <w:r w:rsidR="009C2722">
        <w:t xml:space="preserve"> have expanded the range of activities that can take place in other dimensions (</w:t>
      </w:r>
      <w:r w:rsidR="00286EFC">
        <w:t>by enhancing variety and novelty in the activities that satisfy consumption aims which lead to new market configurations).  In the case of</w:t>
      </w:r>
      <w:r w:rsidR="0019547D">
        <w:t xml:space="preserve"> civil liberties, however, the closure or limiting role of</w:t>
      </w:r>
      <w:r w:rsidR="007E0DA2">
        <w:t xml:space="preserve"> these </w:t>
      </w:r>
      <w:r w:rsidR="00286EFC">
        <w:t xml:space="preserve">context sensitive constraints takes place with far greater uncertainty </w:t>
      </w:r>
      <w:r w:rsidR="00915067">
        <w:t>in terms of</w:t>
      </w:r>
      <w:r w:rsidR="00286EFC">
        <w:t xml:space="preserve"> the ability to </w:t>
      </w:r>
      <w:r w:rsidR="00AD434C">
        <w:t>enhance alternatives or o</w:t>
      </w:r>
      <w:r w:rsidR="00286EFC">
        <w:t>utcomes across space and time than in the case of technology</w:t>
      </w:r>
      <w:r w:rsidR="0019547D">
        <w:t>.  One surmises that</w:t>
      </w:r>
      <w:r w:rsidR="00232FF5">
        <w:t>,</w:t>
      </w:r>
      <w:r w:rsidR="0019547D">
        <w:t xml:space="preserve"> as a result</w:t>
      </w:r>
      <w:r w:rsidR="00915067">
        <w:t>,</w:t>
      </w:r>
      <w:r w:rsidR="0019547D">
        <w:t xml:space="preserve"> the attractors </w:t>
      </w:r>
      <w:r w:rsidR="00AD434C">
        <w:t xml:space="preserve">in complex systems </w:t>
      </w:r>
      <w:r w:rsidR="0019547D">
        <w:t xml:space="preserve">generated by civil liberties in the evolution of societies will be far more strange or chaotic than the ones generated by technology in the evolution of markets </w:t>
      </w:r>
      <w:r w:rsidR="00AD434C">
        <w:t xml:space="preserve">that </w:t>
      </w:r>
      <w:r w:rsidR="0019547D">
        <w:t xml:space="preserve">satisfy </w:t>
      </w:r>
      <w:r w:rsidR="00CC7E89">
        <w:t xml:space="preserve">narrow </w:t>
      </w:r>
      <w:r w:rsidR="0019547D">
        <w:t xml:space="preserve">consumption aims. </w:t>
      </w:r>
    </w:p>
    <w:p w:rsidR="00AF6836" w:rsidRDefault="00610A03" w:rsidP="00681B8A">
      <w:pPr>
        <w:spacing w:line="480" w:lineRule="auto"/>
        <w:ind w:firstLine="720"/>
      </w:pPr>
      <w:r>
        <w:t>Market liberalizations in China and Vietnam were able to promote growth by taking advantage of the sizable proportion of their economies in spontaneous markets, which require no expansion of civil liberties for their operation at high levels.  Moreover they were also able to take advantage of the shift of substantial resources from rural areas to more productive use</w:t>
      </w:r>
      <w:r w:rsidR="00CC7E89">
        <w:t>s</w:t>
      </w:r>
      <w:r>
        <w:t xml:space="preserve"> in urban ones</w:t>
      </w:r>
      <w:r w:rsidR="002B40F0">
        <w:t>,</w:t>
      </w:r>
      <w:r>
        <w:t xml:space="preserve"> given the sizable expected gains from their large population size for any given level of risk.  It is after substantial </w:t>
      </w:r>
      <w:r w:rsidR="005337D3">
        <w:t xml:space="preserve">experience with </w:t>
      </w:r>
      <w:r>
        <w:t>this process when the development of soci</w:t>
      </w:r>
      <w:r w:rsidR="005337D3">
        <w:t>al</w:t>
      </w:r>
      <w:r>
        <w:t xml:space="preserve">ly </w:t>
      </w:r>
      <w:r w:rsidR="005337D3">
        <w:t>c</w:t>
      </w:r>
      <w:r>
        <w:t>o</w:t>
      </w:r>
      <w:r w:rsidR="005337D3">
        <w:t>n</w:t>
      </w:r>
      <w:r>
        <w:t>st</w:t>
      </w:r>
      <w:r w:rsidR="005337D3">
        <w:t>ra</w:t>
      </w:r>
      <w:r>
        <w:t xml:space="preserve">ined </w:t>
      </w:r>
      <w:r w:rsidR="005337D3">
        <w:t>m</w:t>
      </w:r>
      <w:r>
        <w:t>arkets becomes imperative</w:t>
      </w:r>
      <w:r w:rsidR="00CC7E89">
        <w:t>.  At this point p</w:t>
      </w:r>
      <w:r>
        <w:t>roblems growing at a</w:t>
      </w:r>
      <w:r w:rsidR="005337D3">
        <w:t xml:space="preserve"> </w:t>
      </w:r>
      <w:r>
        <w:t>fast pace without expansion of civil liberties</w:t>
      </w:r>
      <w:r w:rsidR="00CC7E89">
        <w:t>,</w:t>
      </w:r>
      <w:r w:rsidR="005337D3">
        <w:t xml:space="preserve"> or other equally effective means of ensuring contract enforcement</w:t>
      </w:r>
      <w:r w:rsidR="00CC7E89">
        <w:t xml:space="preserve">, lead </w:t>
      </w:r>
      <w:r w:rsidR="00AF6836">
        <w:t xml:space="preserve">these countries </w:t>
      </w:r>
      <w:r w:rsidR="00CC7E89">
        <w:t xml:space="preserve">to substantial decelerations in </w:t>
      </w:r>
      <w:r w:rsidR="00AF6836">
        <w:t>their growth rates.</w:t>
      </w:r>
    </w:p>
    <w:p w:rsidR="000B5DA4" w:rsidRDefault="000B5DA4" w:rsidP="00681B8A">
      <w:pPr>
        <w:spacing w:line="480" w:lineRule="auto"/>
        <w:ind w:firstLine="720"/>
      </w:pPr>
      <w:r>
        <w:t xml:space="preserve">Cuba’s market liberalizations provide a very limited commitment to the protection of civil liberties.  For instance, they do not encompass freedom of assembly and extend to freedom of expression and the rule of law in relatively minor ways.  Their main focus is a commitment to protect </w:t>
      </w:r>
      <w:r w:rsidR="00AD434C">
        <w:t xml:space="preserve">most but not </w:t>
      </w:r>
      <w:r>
        <w:t>all individual rights associated with secure ownership and mobility of persons</w:t>
      </w:r>
      <w:r w:rsidR="00AD434C">
        <w:t xml:space="preserve">.  Given these characteristics one would expect the evolution of the resulting </w:t>
      </w:r>
      <w:r w:rsidR="00B24F06">
        <w:t xml:space="preserve">economic </w:t>
      </w:r>
      <w:r w:rsidR="00AD434C">
        <w:t>system to entail some economic growth, especially in markets characterized as spontaneous or irrepressible</w:t>
      </w:r>
      <w:r w:rsidR="00B24F06">
        <w:t xml:space="preserve">.  Nevertheless, one would also expect </w:t>
      </w:r>
      <w:r w:rsidR="00AD434C">
        <w:t>a much more limited effect on socially contrived markets</w:t>
      </w:r>
      <w:r w:rsidR="00B24F06">
        <w:t>.  Ironically, an</w:t>
      </w:r>
      <w:r w:rsidR="00AD434C">
        <w:t xml:space="preserve"> except</w:t>
      </w:r>
      <w:r w:rsidR="00B24F06">
        <w:t>ion would arise in those markets</w:t>
      </w:r>
      <w:r w:rsidR="00AD434C">
        <w:t xml:space="preserve"> where relational contracts ma</w:t>
      </w:r>
      <w:r w:rsidR="00B24F06">
        <w:t xml:space="preserve">de </w:t>
      </w:r>
      <w:r w:rsidR="00AD434C">
        <w:t xml:space="preserve">up </w:t>
      </w:r>
      <w:r w:rsidR="005337D3">
        <w:t xml:space="preserve">for </w:t>
      </w:r>
      <w:r w:rsidR="00B24F06">
        <w:t xml:space="preserve">a substantial and durable extent the absence </w:t>
      </w:r>
      <w:r w:rsidR="00AD434C">
        <w:t>of civil liberties as a relational constraint.</w:t>
      </w:r>
    </w:p>
    <w:p w:rsidR="00AF6836" w:rsidRDefault="00AF6836" w:rsidP="003C1664">
      <w:pPr>
        <w:spacing w:line="480" w:lineRule="auto"/>
        <w:rPr>
          <w:b/>
        </w:rPr>
      </w:pPr>
    </w:p>
    <w:p w:rsidR="00AF6836" w:rsidRDefault="00AF6836" w:rsidP="003C1664">
      <w:pPr>
        <w:spacing w:line="480" w:lineRule="auto"/>
        <w:rPr>
          <w:b/>
        </w:rPr>
      </w:pPr>
    </w:p>
    <w:p w:rsidR="0042241A" w:rsidRDefault="00681B8A" w:rsidP="003C1664">
      <w:pPr>
        <w:spacing w:line="480" w:lineRule="auto"/>
        <w:rPr>
          <w:b/>
        </w:rPr>
      </w:pPr>
      <w:r w:rsidRPr="00681B8A">
        <w:rPr>
          <w:b/>
        </w:rPr>
        <w:t>Referen</w:t>
      </w:r>
      <w:r w:rsidR="00786D2D" w:rsidRPr="00786D2D">
        <w:rPr>
          <w:b/>
        </w:rPr>
        <w:t>ces</w:t>
      </w:r>
      <w:r w:rsidR="004B5AE0" w:rsidRPr="00786D2D">
        <w:rPr>
          <w:b/>
        </w:rPr>
        <w:t xml:space="preserve"> </w:t>
      </w:r>
    </w:p>
    <w:p w:rsidR="005B006A" w:rsidRDefault="005B006A" w:rsidP="0042241A">
      <w:pPr>
        <w:spacing w:line="480" w:lineRule="auto"/>
      </w:pPr>
      <w:r w:rsidRPr="005B006A">
        <w:t>Amust</w:t>
      </w:r>
      <w:r w:rsidR="000C7687">
        <w:t>á</w:t>
      </w:r>
      <w:r w:rsidRPr="005B006A">
        <w:t>c</w:t>
      </w:r>
      <w:r>
        <w:t>hegui, D. (2014). “Cuba’s Currency Unification: Step by Step and Tensions,”</w:t>
      </w:r>
      <w:r w:rsidRPr="005B006A">
        <w:rPr>
          <w:i/>
        </w:rPr>
        <w:t xml:space="preserve"> </w:t>
      </w:r>
      <w:r w:rsidRPr="0042241A">
        <w:rPr>
          <w:i/>
        </w:rPr>
        <w:t>Cuba in Transition</w:t>
      </w:r>
      <w:r>
        <w:t>: -</w:t>
      </w:r>
      <w:r>
        <w:tab/>
      </w:r>
      <w:r w:rsidRPr="005B006A">
        <w:rPr>
          <w:i/>
        </w:rPr>
        <w:t>- Volume 24</w:t>
      </w:r>
      <w:r>
        <w:rPr>
          <w:i/>
        </w:rPr>
        <w:t>.</w:t>
      </w:r>
      <w:r>
        <w:t xml:space="preserve"> Washington, DC: Association for the Study of the Cuban Economy.  </w:t>
      </w:r>
    </w:p>
    <w:p w:rsidR="005B006A" w:rsidRDefault="005B006A" w:rsidP="0042241A">
      <w:pPr>
        <w:spacing w:line="480" w:lineRule="auto"/>
      </w:pPr>
      <w:r>
        <w:t>Aq</w:t>
      </w:r>
      <w:r w:rsidR="0042241A" w:rsidRPr="0042241A">
        <w:t>uique, D.</w:t>
      </w:r>
      <w:r w:rsidR="0042241A">
        <w:t xml:space="preserve"> (2014). “Cuba: Un nuevo modelo económico o capitalizar el entusiasmo de la integración    </w:t>
      </w:r>
      <w:r w:rsidR="0042241A">
        <w:tab/>
        <w:t xml:space="preserve">latinoamericana?,” </w:t>
      </w:r>
      <w:r w:rsidR="0042241A" w:rsidRPr="0042241A">
        <w:rPr>
          <w:i/>
        </w:rPr>
        <w:t>Cuba in Transition</w:t>
      </w:r>
      <w:r w:rsidR="0042241A">
        <w:t xml:space="preserve">: -- </w:t>
      </w:r>
      <w:r w:rsidR="0042241A" w:rsidRPr="0042241A">
        <w:rPr>
          <w:i/>
        </w:rPr>
        <w:t>Volume 24</w:t>
      </w:r>
      <w:r w:rsidR="0042241A">
        <w:rPr>
          <w:i/>
        </w:rPr>
        <w:t>.</w:t>
      </w:r>
      <w:r w:rsidR="0042241A">
        <w:t xml:space="preserve"> Washington, DC: Association for the Study </w:t>
      </w:r>
    </w:p>
    <w:p w:rsidR="00B5218E" w:rsidRDefault="005B006A" w:rsidP="005B006A">
      <w:pPr>
        <w:spacing w:line="480" w:lineRule="auto"/>
      </w:pPr>
      <w:r>
        <w:t xml:space="preserve">              </w:t>
      </w:r>
      <w:r w:rsidR="0042241A">
        <w:t xml:space="preserve">of the Cuban Economy.  </w:t>
      </w:r>
    </w:p>
    <w:p w:rsidR="005B006A" w:rsidRDefault="005B006A" w:rsidP="005B006A">
      <w:pPr>
        <w:spacing w:line="480" w:lineRule="auto"/>
      </w:pPr>
      <w:r>
        <w:t xml:space="preserve">Barron, D. (2014).  “Relational Contracts, Unemployment Insurance, and Trade,” paper presented at </w:t>
      </w:r>
    </w:p>
    <w:p w:rsidR="005B006A" w:rsidRDefault="005B006A" w:rsidP="005B006A">
      <w:pPr>
        <w:spacing w:line="480" w:lineRule="auto"/>
      </w:pPr>
      <w:r>
        <w:tab/>
        <w:t>ISNIE</w:t>
      </w:r>
      <w:r w:rsidR="00BF67D3">
        <w:t xml:space="preserve"> 2014, Duke University, North Carolina.</w:t>
      </w:r>
    </w:p>
    <w:p w:rsidR="00EB32E5" w:rsidRDefault="00BF67D3" w:rsidP="005B006A">
      <w:pPr>
        <w:spacing w:line="480" w:lineRule="auto"/>
      </w:pPr>
      <w:r>
        <w:t>Baker</w:t>
      </w:r>
      <w:r w:rsidR="00EB32E5">
        <w:t xml:space="preserve">, G., R. </w:t>
      </w:r>
      <w:r>
        <w:t>Gibbons and</w:t>
      </w:r>
      <w:r w:rsidR="00EB32E5">
        <w:t xml:space="preserve"> K.J.</w:t>
      </w:r>
      <w:r>
        <w:t xml:space="preserve"> Murphy</w:t>
      </w:r>
      <w:r w:rsidR="00EB32E5">
        <w:t xml:space="preserve">. (2002). “Relational Contracts and the Theory of the Firm,” </w:t>
      </w:r>
    </w:p>
    <w:p w:rsidR="00BF67D3" w:rsidRDefault="00EB32E5" w:rsidP="005B006A">
      <w:pPr>
        <w:spacing w:line="480" w:lineRule="auto"/>
      </w:pPr>
      <w:r>
        <w:tab/>
      </w:r>
      <w:r w:rsidRPr="00EB32E5">
        <w:rPr>
          <w:i/>
        </w:rPr>
        <w:t>Quarterly Journal of Economics</w:t>
      </w:r>
      <w:r>
        <w:t>, 117 (1): 39-84.</w:t>
      </w:r>
    </w:p>
    <w:p w:rsidR="003D2CB4" w:rsidRDefault="00EB32E5" w:rsidP="005B006A">
      <w:pPr>
        <w:spacing w:line="480" w:lineRule="auto"/>
      </w:pPr>
      <w:r>
        <w:t xml:space="preserve">Banerjee, A., </w:t>
      </w:r>
      <w:r w:rsidR="001845A4">
        <w:t xml:space="preserve">R. Hanna and S. Mullainathan. (2013). “Corruption,” Ch. 27 in R. Gibbons and </w:t>
      </w:r>
      <w:r w:rsidR="003D2CB4">
        <w:t>J. Roberts</w:t>
      </w:r>
      <w:r>
        <w:t xml:space="preserve"> </w:t>
      </w:r>
    </w:p>
    <w:p w:rsidR="00EB32E5" w:rsidRDefault="003D2CB4" w:rsidP="005B006A">
      <w:pPr>
        <w:spacing w:line="480" w:lineRule="auto"/>
      </w:pPr>
      <w:r>
        <w:tab/>
        <w:t xml:space="preserve">(eds.) </w:t>
      </w:r>
      <w:r w:rsidRPr="003D2CB4">
        <w:rPr>
          <w:i/>
        </w:rPr>
        <w:t>The Handbook of Organizational Economics</w:t>
      </w:r>
      <w:r>
        <w:t>. Princeton: Princeton University Press.</w:t>
      </w:r>
    </w:p>
    <w:p w:rsidR="006738E7" w:rsidRDefault="003D2CB4" w:rsidP="005B006A">
      <w:pPr>
        <w:spacing w:line="480" w:lineRule="auto"/>
        <w:rPr>
          <w:i/>
        </w:rPr>
      </w:pPr>
      <w:r>
        <w:t>Betancourt, R. (2004).</w:t>
      </w:r>
      <w:r w:rsidR="006738E7">
        <w:t xml:space="preserve"> </w:t>
      </w:r>
      <w:r w:rsidR="006738E7" w:rsidRPr="006738E7">
        <w:rPr>
          <w:i/>
        </w:rPr>
        <w:t xml:space="preserve">The Role of the </w:t>
      </w:r>
      <w:r w:rsidR="006738E7">
        <w:rPr>
          <w:i/>
        </w:rPr>
        <w:t>S</w:t>
      </w:r>
      <w:r w:rsidR="006738E7" w:rsidRPr="006738E7">
        <w:rPr>
          <w:i/>
        </w:rPr>
        <w:t xml:space="preserve">tate during a </w:t>
      </w:r>
      <w:r w:rsidR="006738E7">
        <w:rPr>
          <w:i/>
        </w:rPr>
        <w:t>‘</w:t>
      </w:r>
      <w:r w:rsidR="006738E7" w:rsidRPr="006738E7">
        <w:rPr>
          <w:i/>
        </w:rPr>
        <w:t>Democratic</w:t>
      </w:r>
      <w:r w:rsidR="006738E7">
        <w:rPr>
          <w:i/>
        </w:rPr>
        <w:t>’</w:t>
      </w:r>
      <w:r w:rsidR="006738E7" w:rsidRPr="006738E7">
        <w:rPr>
          <w:i/>
        </w:rPr>
        <w:t xml:space="preserve"> Transition: Cuba.</w:t>
      </w:r>
      <w:r w:rsidR="006738E7">
        <w:rPr>
          <w:i/>
        </w:rPr>
        <w:t xml:space="preserve"> </w:t>
      </w:r>
      <w:r w:rsidR="006738E7" w:rsidRPr="006738E7">
        <w:t xml:space="preserve">Cuba </w:t>
      </w:r>
      <w:r w:rsidR="006738E7">
        <w:t>T</w:t>
      </w:r>
      <w:r w:rsidR="006738E7" w:rsidRPr="006738E7">
        <w:t>ransition</w:t>
      </w:r>
      <w:r w:rsidR="006738E7">
        <w:rPr>
          <w:i/>
        </w:rPr>
        <w:t xml:space="preserve"> </w:t>
      </w:r>
    </w:p>
    <w:p w:rsidR="003D2CB4" w:rsidRDefault="006738E7" w:rsidP="005B006A">
      <w:pPr>
        <w:spacing w:line="480" w:lineRule="auto"/>
      </w:pPr>
      <w:r>
        <w:rPr>
          <w:i/>
        </w:rPr>
        <w:tab/>
      </w:r>
      <w:r w:rsidRPr="006738E7">
        <w:t>P</w:t>
      </w:r>
      <w:r>
        <w:t>roject: Institute of Cuban and Cuban-American Studies</w:t>
      </w:r>
      <w:r w:rsidR="008F0883">
        <w:t>,</w:t>
      </w:r>
      <w:r>
        <w:t xml:space="preserve"> University of Miami.</w:t>
      </w:r>
    </w:p>
    <w:p w:rsidR="005935CD" w:rsidRDefault="005935CD" w:rsidP="005B006A">
      <w:pPr>
        <w:spacing w:line="480" w:lineRule="auto"/>
      </w:pPr>
      <w:r>
        <w:t>_________ and D. Gautschi. (2001). “Product Innovation in Services: A Framework for Analysis,”</w:t>
      </w:r>
    </w:p>
    <w:p w:rsidR="005935CD" w:rsidRDefault="00864A64" w:rsidP="007B4792">
      <w:pPr>
        <w:spacing w:line="480" w:lineRule="auto"/>
        <w:ind w:left="720"/>
        <w:rPr>
          <w:i/>
        </w:rPr>
      </w:pPr>
      <w:r>
        <w:t>i</w:t>
      </w:r>
      <w:r w:rsidR="005935CD">
        <w:t>n M. Baye and J. Nelson (eds.)</w:t>
      </w:r>
      <w:r w:rsidR="00314E9D">
        <w:t xml:space="preserve"> </w:t>
      </w:r>
      <w:r w:rsidRPr="00864A64">
        <w:rPr>
          <w:i/>
        </w:rPr>
        <w:t>Advertising and Differentiated Products</w:t>
      </w:r>
      <w:r>
        <w:rPr>
          <w:i/>
        </w:rPr>
        <w:t xml:space="preserve"> (</w:t>
      </w:r>
      <w:r w:rsidR="00314E9D" w:rsidRPr="00A9087A">
        <w:rPr>
          <w:i/>
        </w:rPr>
        <w:t xml:space="preserve">Advances in </w:t>
      </w:r>
      <w:r w:rsidR="00A9087A" w:rsidRPr="00A9087A">
        <w:rPr>
          <w:i/>
        </w:rPr>
        <w:t>A</w:t>
      </w:r>
      <w:r w:rsidR="00314E9D" w:rsidRPr="00A9087A">
        <w:rPr>
          <w:i/>
        </w:rPr>
        <w:t xml:space="preserve">pplied </w:t>
      </w:r>
      <w:r w:rsidR="00A9087A" w:rsidRPr="00A9087A">
        <w:rPr>
          <w:i/>
        </w:rPr>
        <w:t>Micro</w:t>
      </w:r>
      <w:r w:rsidR="00314E9D" w:rsidRPr="00A9087A">
        <w:rPr>
          <w:i/>
        </w:rPr>
        <w:t>economics</w:t>
      </w:r>
      <w:r w:rsidR="00A9087A">
        <w:rPr>
          <w:i/>
        </w:rPr>
        <w:t>--</w:t>
      </w:r>
      <w:r w:rsidR="00314E9D" w:rsidRPr="00A9087A">
        <w:rPr>
          <w:i/>
        </w:rPr>
        <w:t xml:space="preserve"> Volume 10</w:t>
      </w:r>
      <w:r>
        <w:rPr>
          <w:i/>
        </w:rPr>
        <w:t xml:space="preserve">, </w:t>
      </w:r>
      <w:r>
        <w:t>pp:155-183).</w:t>
      </w:r>
      <w:r w:rsidR="00A9087A" w:rsidRPr="00864A64">
        <w:t xml:space="preserve"> Emerald </w:t>
      </w:r>
      <w:r w:rsidRPr="00864A64">
        <w:t xml:space="preserve">Group </w:t>
      </w:r>
      <w:r w:rsidR="00A9087A" w:rsidRPr="00864A64">
        <w:t>Publishing Limited</w:t>
      </w:r>
      <w:r>
        <w:t>.</w:t>
      </w:r>
      <w:r w:rsidR="00314E9D" w:rsidRPr="00A9087A">
        <w:rPr>
          <w:i/>
        </w:rPr>
        <w:t xml:space="preserve"> </w:t>
      </w:r>
      <w:r w:rsidR="005935CD" w:rsidRPr="00A9087A">
        <w:rPr>
          <w:i/>
        </w:rPr>
        <w:t xml:space="preserve"> </w:t>
      </w:r>
    </w:p>
    <w:p w:rsidR="00B33E99" w:rsidRDefault="00B33E99" w:rsidP="00B33E99">
      <w:pPr>
        <w:spacing w:line="480" w:lineRule="auto"/>
      </w:pPr>
      <w:r>
        <w:t xml:space="preserve">Bye, V. (2014). “Political Implications of Economic Reforms,” </w:t>
      </w:r>
      <w:r w:rsidRPr="0042241A">
        <w:rPr>
          <w:i/>
        </w:rPr>
        <w:t>Cuba in Transition</w:t>
      </w:r>
      <w:r>
        <w:t xml:space="preserve">: -- </w:t>
      </w:r>
      <w:r w:rsidRPr="0042241A">
        <w:rPr>
          <w:i/>
        </w:rPr>
        <w:t>Volume 24</w:t>
      </w:r>
      <w:r>
        <w:rPr>
          <w:i/>
        </w:rPr>
        <w:t>.</w:t>
      </w:r>
      <w:r>
        <w:t xml:space="preserve"> </w:t>
      </w:r>
    </w:p>
    <w:p w:rsidR="00B33E99" w:rsidRDefault="00B33E99" w:rsidP="00B33E99">
      <w:pPr>
        <w:spacing w:line="480" w:lineRule="auto"/>
        <w:ind w:firstLine="720"/>
      </w:pPr>
      <w:r>
        <w:t>Washington, D</w:t>
      </w:r>
      <w:r w:rsidR="00401FF7">
        <w:t>.</w:t>
      </w:r>
      <w:r>
        <w:t>C</w:t>
      </w:r>
      <w:r w:rsidR="00401FF7">
        <w:t>.</w:t>
      </w:r>
      <w:r>
        <w:t>: Association for the Study of the Cuban Economy.</w:t>
      </w:r>
    </w:p>
    <w:p w:rsidR="00C80B47" w:rsidRDefault="00B33E99" w:rsidP="00C80B47">
      <w:pPr>
        <w:spacing w:line="480" w:lineRule="auto"/>
      </w:pPr>
      <w:r>
        <w:t>Castañeda, R. (2014). “Cuba: Why Have Raul’s Policy ‘Updates’ Not Been Successful,</w:t>
      </w:r>
      <w:r w:rsidR="00C80B47">
        <w:t>”</w:t>
      </w:r>
      <w:r>
        <w:t xml:space="preserve"> </w:t>
      </w:r>
      <w:r w:rsidR="00C80B47" w:rsidRPr="0042241A">
        <w:rPr>
          <w:i/>
        </w:rPr>
        <w:t>Cuba in Transition</w:t>
      </w:r>
      <w:r w:rsidR="00C80B47">
        <w:t xml:space="preserve">: </w:t>
      </w:r>
    </w:p>
    <w:p w:rsidR="00B33E99" w:rsidRDefault="00C80B47" w:rsidP="00C80B47">
      <w:pPr>
        <w:spacing w:line="480" w:lineRule="auto"/>
      </w:pPr>
      <w:r>
        <w:tab/>
        <w:t xml:space="preserve">-- </w:t>
      </w:r>
      <w:r w:rsidRPr="0042241A">
        <w:rPr>
          <w:i/>
        </w:rPr>
        <w:t>Volume 24</w:t>
      </w:r>
      <w:r>
        <w:rPr>
          <w:i/>
        </w:rPr>
        <w:t>.</w:t>
      </w:r>
      <w:r>
        <w:t xml:space="preserve"> Washington, DC: Association for the Study of the Cuban Economy.</w:t>
      </w:r>
    </w:p>
    <w:p w:rsidR="00C80B47" w:rsidRDefault="00C80B47" w:rsidP="00C80B47">
      <w:pPr>
        <w:spacing w:line="480" w:lineRule="auto"/>
        <w:rPr>
          <w:i/>
        </w:rPr>
      </w:pPr>
      <w:r>
        <w:t xml:space="preserve">Chaguaceda, A. and R. Centeno (2011). “el Socialismo Democrático ante las Actuales </w:t>
      </w:r>
      <w:r w:rsidR="000E33D8">
        <w:t>R</w:t>
      </w:r>
      <w:r>
        <w:t xml:space="preserve">eformas,” </w:t>
      </w:r>
      <w:r w:rsidRPr="00C80B47">
        <w:rPr>
          <w:i/>
        </w:rPr>
        <w:t xml:space="preserve">Viento </w:t>
      </w:r>
    </w:p>
    <w:p w:rsidR="00C80B47" w:rsidRDefault="00C80B47" w:rsidP="00C80B47">
      <w:pPr>
        <w:spacing w:line="480" w:lineRule="auto"/>
      </w:pPr>
      <w:r>
        <w:rPr>
          <w:i/>
        </w:rPr>
        <w:tab/>
      </w:r>
      <w:r w:rsidRPr="00C80B47">
        <w:rPr>
          <w:i/>
        </w:rPr>
        <w:t>Sur</w:t>
      </w:r>
      <w:r>
        <w:t xml:space="preserve"> No. 115 (March):13-24.</w:t>
      </w:r>
    </w:p>
    <w:p w:rsidR="00CF10B4" w:rsidRDefault="00C80B47" w:rsidP="00C80B47">
      <w:pPr>
        <w:spacing w:line="480" w:lineRule="auto"/>
      </w:pPr>
      <w:r>
        <w:t xml:space="preserve">Clague, C., P. Keefer, S. Knack, and M. Olson (1999). </w:t>
      </w:r>
      <w:r w:rsidR="00CF10B4">
        <w:t xml:space="preserve">“Contract-Intensive Money:  Contract Enforcement, </w:t>
      </w:r>
    </w:p>
    <w:p w:rsidR="00C80B47" w:rsidRDefault="00CF10B4" w:rsidP="00C80B47">
      <w:pPr>
        <w:spacing w:line="480" w:lineRule="auto"/>
      </w:pPr>
      <w:r>
        <w:tab/>
        <w:t xml:space="preserve">Property Rights and Economic Performance,” </w:t>
      </w:r>
      <w:r w:rsidRPr="00CF10B4">
        <w:rPr>
          <w:i/>
        </w:rPr>
        <w:t>Journal of Economic Growth</w:t>
      </w:r>
      <w:r>
        <w:t xml:space="preserve"> 4 (2): 185-211.</w:t>
      </w:r>
    </w:p>
    <w:p w:rsidR="00914DB8" w:rsidRDefault="00CF10B4" w:rsidP="00C80B47">
      <w:pPr>
        <w:spacing w:line="480" w:lineRule="auto"/>
      </w:pPr>
      <w:r>
        <w:t xml:space="preserve">Denison, E. (1967). </w:t>
      </w:r>
      <w:r w:rsidRPr="00914DB8">
        <w:rPr>
          <w:i/>
        </w:rPr>
        <w:t xml:space="preserve">Why Growth </w:t>
      </w:r>
      <w:r w:rsidR="00914DB8" w:rsidRPr="00914DB8">
        <w:rPr>
          <w:i/>
        </w:rPr>
        <w:t>R</w:t>
      </w:r>
      <w:r w:rsidRPr="00914DB8">
        <w:rPr>
          <w:i/>
        </w:rPr>
        <w:t>ates Differ?</w:t>
      </w:r>
      <w:r w:rsidR="00A14710">
        <w:rPr>
          <w:i/>
        </w:rPr>
        <w:t xml:space="preserve"> -- </w:t>
      </w:r>
      <w:r w:rsidR="00914DB8" w:rsidRPr="00914DB8">
        <w:rPr>
          <w:i/>
        </w:rPr>
        <w:t>P</w:t>
      </w:r>
      <w:r w:rsidR="00E3412A" w:rsidRPr="00914DB8">
        <w:rPr>
          <w:i/>
        </w:rPr>
        <w:t xml:space="preserve">ostwar </w:t>
      </w:r>
      <w:r w:rsidR="00914DB8" w:rsidRPr="00914DB8">
        <w:rPr>
          <w:i/>
        </w:rPr>
        <w:t>E</w:t>
      </w:r>
      <w:r w:rsidR="00E3412A" w:rsidRPr="00914DB8">
        <w:rPr>
          <w:i/>
        </w:rPr>
        <w:t xml:space="preserve">xperiences in </w:t>
      </w:r>
      <w:r w:rsidR="00914DB8" w:rsidRPr="00914DB8">
        <w:rPr>
          <w:i/>
        </w:rPr>
        <w:t>N</w:t>
      </w:r>
      <w:r w:rsidR="00E3412A" w:rsidRPr="00914DB8">
        <w:rPr>
          <w:i/>
        </w:rPr>
        <w:t xml:space="preserve">ine </w:t>
      </w:r>
      <w:r w:rsidR="00914DB8" w:rsidRPr="00914DB8">
        <w:rPr>
          <w:i/>
        </w:rPr>
        <w:t>W</w:t>
      </w:r>
      <w:r w:rsidR="00E3412A" w:rsidRPr="00914DB8">
        <w:rPr>
          <w:i/>
        </w:rPr>
        <w:t xml:space="preserve">estern </w:t>
      </w:r>
      <w:r w:rsidR="00914DB8" w:rsidRPr="00914DB8">
        <w:rPr>
          <w:i/>
        </w:rPr>
        <w:t>C</w:t>
      </w:r>
      <w:r w:rsidR="00E3412A" w:rsidRPr="00914DB8">
        <w:rPr>
          <w:i/>
        </w:rPr>
        <w:t>ountries</w:t>
      </w:r>
      <w:r w:rsidR="00E3412A">
        <w:t xml:space="preserve">. </w:t>
      </w:r>
    </w:p>
    <w:p w:rsidR="00CF10B4" w:rsidRPr="00B33E99" w:rsidRDefault="00914DB8" w:rsidP="00C80B47">
      <w:pPr>
        <w:spacing w:line="480" w:lineRule="auto"/>
      </w:pPr>
      <w:r>
        <w:tab/>
      </w:r>
      <w:r w:rsidR="00E3412A">
        <w:t>Washington D</w:t>
      </w:r>
      <w:r w:rsidR="00401FF7">
        <w:t>.</w:t>
      </w:r>
      <w:r w:rsidR="00E3412A">
        <w:t>C</w:t>
      </w:r>
      <w:r w:rsidR="00401FF7">
        <w:t>.</w:t>
      </w:r>
      <w:r w:rsidR="00E3412A">
        <w:t>: The Brookings Institution.</w:t>
      </w:r>
    </w:p>
    <w:p w:rsidR="003D1E19" w:rsidRDefault="00A731F0" w:rsidP="005B006A">
      <w:pPr>
        <w:spacing w:line="480" w:lineRule="auto"/>
      </w:pPr>
      <w:r w:rsidRPr="00A731F0">
        <w:t>Echevarria</w:t>
      </w:r>
      <w:r>
        <w:t xml:space="preserve">, V. (2014). “Currency Mergers,” </w:t>
      </w:r>
      <w:r w:rsidRPr="00A731F0">
        <w:rPr>
          <w:i/>
        </w:rPr>
        <w:t>Cuba News</w:t>
      </w:r>
      <w:r>
        <w:rPr>
          <w:i/>
        </w:rPr>
        <w:t>,</w:t>
      </w:r>
      <w:r>
        <w:t xml:space="preserve"> 22 (7): p.5. </w:t>
      </w:r>
    </w:p>
    <w:p w:rsidR="00914DB8" w:rsidRDefault="00914DB8" w:rsidP="005B006A">
      <w:pPr>
        <w:spacing w:line="480" w:lineRule="auto"/>
      </w:pPr>
      <w:r>
        <w:t xml:space="preserve">Gibbons, R. and J. Roberts (2013). </w:t>
      </w:r>
      <w:r w:rsidRPr="00914DB8">
        <w:rPr>
          <w:i/>
        </w:rPr>
        <w:t>The Handbook of Organizational Economics</w:t>
      </w:r>
      <w:r>
        <w:rPr>
          <w:i/>
        </w:rPr>
        <w:t xml:space="preserve">. </w:t>
      </w:r>
      <w:r w:rsidRPr="00914DB8">
        <w:t>Princeton</w:t>
      </w:r>
      <w:r>
        <w:t xml:space="preserve">: Princeton </w:t>
      </w:r>
    </w:p>
    <w:p w:rsidR="00914DB8" w:rsidRDefault="00914DB8" w:rsidP="005B006A">
      <w:pPr>
        <w:spacing w:line="480" w:lineRule="auto"/>
      </w:pPr>
      <w:r>
        <w:tab/>
        <w:t>University Press.</w:t>
      </w:r>
    </w:p>
    <w:p w:rsidR="00076977" w:rsidRDefault="00914DB8" w:rsidP="005B006A">
      <w:pPr>
        <w:spacing w:line="480" w:lineRule="auto"/>
      </w:pPr>
      <w:r>
        <w:t>Hernández-Catá, E. (2013).</w:t>
      </w:r>
      <w:r w:rsidR="00006585">
        <w:t xml:space="preserve"> “Macroeconomic Policy in Cuba: History, Problems and the Agenda for the </w:t>
      </w:r>
    </w:p>
    <w:p w:rsidR="00914DB8" w:rsidRDefault="00006585" w:rsidP="00076977">
      <w:pPr>
        <w:spacing w:line="480" w:lineRule="auto"/>
        <w:ind w:left="720"/>
      </w:pPr>
      <w:r>
        <w:t>Future,”</w:t>
      </w:r>
      <w:r w:rsidR="00EE045C" w:rsidRPr="00EE045C">
        <w:rPr>
          <w:rFonts w:ascii="Times New Roman" w:hAnsi="Times New Roman" w:cs="Times New Roman"/>
          <w:sz w:val="24"/>
          <w:szCs w:val="24"/>
        </w:rPr>
        <w:t xml:space="preserve"> </w:t>
      </w:r>
      <w:r w:rsidR="00EE045C">
        <w:rPr>
          <w:rFonts w:ascii="Times New Roman" w:hAnsi="Times New Roman" w:cs="Times New Roman"/>
          <w:sz w:val="24"/>
          <w:szCs w:val="24"/>
        </w:rPr>
        <w:t xml:space="preserve">in B. Christianson (ed.) </w:t>
      </w:r>
      <w:r w:rsidR="00EE045C" w:rsidRPr="00A3065A">
        <w:rPr>
          <w:rFonts w:ascii="Times New Roman" w:hAnsi="Times New Roman" w:cs="Times New Roman"/>
          <w:i/>
          <w:sz w:val="24"/>
          <w:szCs w:val="24"/>
        </w:rPr>
        <w:t>Handbook of Research in Gr</w:t>
      </w:r>
      <w:r w:rsidR="00EE045C">
        <w:rPr>
          <w:rFonts w:ascii="Times New Roman" w:hAnsi="Times New Roman" w:cs="Times New Roman"/>
          <w:i/>
          <w:sz w:val="24"/>
          <w:szCs w:val="24"/>
        </w:rPr>
        <w:t>o</w:t>
      </w:r>
      <w:r w:rsidR="00EE045C" w:rsidRPr="00A3065A">
        <w:rPr>
          <w:rFonts w:ascii="Times New Roman" w:hAnsi="Times New Roman" w:cs="Times New Roman"/>
          <w:i/>
          <w:sz w:val="24"/>
          <w:szCs w:val="24"/>
        </w:rPr>
        <w:t>wth and</w:t>
      </w:r>
      <w:r w:rsidR="00EE045C">
        <w:rPr>
          <w:rFonts w:ascii="Times New Roman" w:hAnsi="Times New Roman" w:cs="Times New Roman"/>
          <w:sz w:val="24"/>
          <w:szCs w:val="24"/>
        </w:rPr>
        <w:t xml:space="preserve"> </w:t>
      </w:r>
      <w:r w:rsidR="00EE045C" w:rsidRPr="00A3065A">
        <w:rPr>
          <w:rFonts w:ascii="Times New Roman" w:hAnsi="Times New Roman" w:cs="Times New Roman"/>
          <w:i/>
          <w:sz w:val="24"/>
          <w:szCs w:val="24"/>
        </w:rPr>
        <w:t>Technological Change in Latin America</w:t>
      </w:r>
      <w:r w:rsidR="00EE045C">
        <w:rPr>
          <w:rFonts w:ascii="Times New Roman" w:hAnsi="Times New Roman" w:cs="Times New Roman"/>
          <w:sz w:val="24"/>
          <w:szCs w:val="24"/>
        </w:rPr>
        <w:t>. IGI Global</w:t>
      </w:r>
      <w:r>
        <w:t>.</w:t>
      </w:r>
    </w:p>
    <w:p w:rsidR="00076977" w:rsidRDefault="00076977" w:rsidP="00076977">
      <w:pPr>
        <w:spacing w:line="480" w:lineRule="auto"/>
      </w:pPr>
      <w:r>
        <w:t xml:space="preserve">Juarrero, A. (1999). </w:t>
      </w:r>
      <w:r w:rsidRPr="00076977">
        <w:rPr>
          <w:i/>
        </w:rPr>
        <w:t>Dynamics in Action: Intentional Behavior as a Complex System</w:t>
      </w:r>
      <w:r>
        <w:t xml:space="preserve"> Boston: MIT Press.</w:t>
      </w:r>
    </w:p>
    <w:p w:rsidR="00076977" w:rsidRPr="00076977" w:rsidRDefault="00076977" w:rsidP="00076977">
      <w:pPr>
        <w:spacing w:line="480" w:lineRule="auto"/>
        <w:rPr>
          <w:i/>
        </w:rPr>
      </w:pPr>
      <w:r>
        <w:t xml:space="preserve">Lewis, W.A. (1954).  “Economic Development with Unlimited Supplies of Labor,” </w:t>
      </w:r>
      <w:r w:rsidRPr="00076977">
        <w:rPr>
          <w:i/>
        </w:rPr>
        <w:t xml:space="preserve">The Manchester School </w:t>
      </w:r>
    </w:p>
    <w:p w:rsidR="00076977" w:rsidRDefault="00076977" w:rsidP="00076977">
      <w:pPr>
        <w:spacing w:line="480" w:lineRule="auto"/>
      </w:pPr>
      <w:r>
        <w:tab/>
        <w:t>22 (2): 139-91.</w:t>
      </w:r>
    </w:p>
    <w:p w:rsidR="00401FF7" w:rsidRDefault="00076977" w:rsidP="00401FF7">
      <w:pPr>
        <w:spacing w:line="480" w:lineRule="auto"/>
        <w:rPr>
          <w:i/>
        </w:rPr>
      </w:pPr>
      <w:r>
        <w:t xml:space="preserve">Luis R. Luis. (2014). “Cuba’s Growth Strategy: Human Capital and Foreign Investment,” </w:t>
      </w:r>
      <w:r w:rsidR="00401FF7" w:rsidRPr="0042241A">
        <w:rPr>
          <w:i/>
        </w:rPr>
        <w:t xml:space="preserve">Cuba in </w:t>
      </w:r>
    </w:p>
    <w:p w:rsidR="00401FF7" w:rsidRDefault="00401FF7" w:rsidP="00401FF7">
      <w:pPr>
        <w:spacing w:line="480" w:lineRule="auto"/>
      </w:pPr>
      <w:r>
        <w:rPr>
          <w:i/>
        </w:rPr>
        <w:tab/>
      </w:r>
      <w:r w:rsidRPr="0042241A">
        <w:rPr>
          <w:i/>
        </w:rPr>
        <w:t>Transition</w:t>
      </w:r>
      <w:r>
        <w:t xml:space="preserve">: -- </w:t>
      </w:r>
      <w:r w:rsidRPr="0042241A">
        <w:rPr>
          <w:i/>
        </w:rPr>
        <w:t>Volume 24</w:t>
      </w:r>
      <w:r>
        <w:rPr>
          <w:i/>
        </w:rPr>
        <w:t>.</w:t>
      </w:r>
      <w:r>
        <w:t xml:space="preserve"> Washington, D.C.: Association for the Study of the Cuban Economy.</w:t>
      </w:r>
    </w:p>
    <w:p w:rsidR="00401FF7" w:rsidRDefault="00401FF7" w:rsidP="00401FF7">
      <w:pPr>
        <w:spacing w:line="480" w:lineRule="auto"/>
      </w:pPr>
      <w:r>
        <w:t xml:space="preserve">Mesa-Lago, C., and J. Pérez-López. (2013). </w:t>
      </w:r>
      <w:r w:rsidRPr="00401FF7">
        <w:rPr>
          <w:i/>
        </w:rPr>
        <w:t>Cuba under Raul Castro: Assessing the Reforms</w:t>
      </w:r>
      <w:r>
        <w:t xml:space="preserve">. Boulder: </w:t>
      </w:r>
    </w:p>
    <w:p w:rsidR="00401FF7" w:rsidRDefault="00401FF7" w:rsidP="00401FF7">
      <w:pPr>
        <w:spacing w:line="480" w:lineRule="auto"/>
      </w:pPr>
      <w:r>
        <w:tab/>
        <w:t>Lynne Rienner Publishers.</w:t>
      </w:r>
    </w:p>
    <w:p w:rsidR="00021B31" w:rsidRDefault="00021B31" w:rsidP="00401FF7">
      <w:pPr>
        <w:spacing w:line="480" w:lineRule="auto"/>
      </w:pPr>
      <w:r>
        <w:t xml:space="preserve">Nabli, M., and Nugent, J. (1989). </w:t>
      </w:r>
      <w:r>
        <w:rPr>
          <w:u w:val="single"/>
        </w:rPr>
        <w:t>The New Institutional Economics and Development</w:t>
      </w:r>
      <w:r>
        <w:t>, Amsterdam: North-</w:t>
      </w:r>
    </w:p>
    <w:p w:rsidR="00401FF7" w:rsidRDefault="00021B31" w:rsidP="00401FF7">
      <w:pPr>
        <w:spacing w:line="480" w:lineRule="auto"/>
      </w:pPr>
      <w:r>
        <w:tab/>
        <w:t>Holland Publishing Co., 1989.</w:t>
      </w:r>
    </w:p>
    <w:p w:rsidR="00021B31" w:rsidRDefault="00021B31" w:rsidP="00401FF7">
      <w:pPr>
        <w:spacing w:line="480" w:lineRule="auto"/>
      </w:pPr>
      <w:r>
        <w:t xml:space="preserve">Piñeiro Harneker, C. (ed., 2011).  </w:t>
      </w:r>
      <w:r w:rsidRPr="00021B31">
        <w:rPr>
          <w:i/>
        </w:rPr>
        <w:t>Cooperativas y Socialismo: Una Mirada desde Cuba</w:t>
      </w:r>
      <w:r>
        <w:t xml:space="preserve">. La Habana: </w:t>
      </w:r>
    </w:p>
    <w:p w:rsidR="00021B31" w:rsidRDefault="00021B31" w:rsidP="00401FF7">
      <w:pPr>
        <w:spacing w:line="480" w:lineRule="auto"/>
      </w:pPr>
      <w:r>
        <w:tab/>
        <w:t>Editorial Caminos.</w:t>
      </w:r>
    </w:p>
    <w:p w:rsidR="00133F7F" w:rsidRDefault="00133F7F" w:rsidP="00786D2D">
      <w:pPr>
        <w:spacing w:line="480" w:lineRule="auto"/>
      </w:pPr>
      <w:r w:rsidRPr="00133F7F">
        <w:t>Rios, Anett</w:t>
      </w:r>
      <w:r>
        <w:t xml:space="preserve">. 2014 “Cuba’s </w:t>
      </w:r>
      <w:r w:rsidR="00A14710">
        <w:t>r</w:t>
      </w:r>
      <w:r>
        <w:t xml:space="preserve">ations </w:t>
      </w:r>
      <w:r w:rsidR="00433E43">
        <w:t>g</w:t>
      </w:r>
      <w:r>
        <w:t>et</w:t>
      </w:r>
      <w:r w:rsidR="00433E43">
        <w:t xml:space="preserve"> t</w:t>
      </w:r>
      <w:r>
        <w:t>hinner</w:t>
      </w:r>
      <w:r w:rsidR="00433E43">
        <w:t xml:space="preserve"> </w:t>
      </w:r>
      <w:r>
        <w:t xml:space="preserve">and </w:t>
      </w:r>
      <w:r w:rsidR="00433E43">
        <w:t>t</w:t>
      </w:r>
      <w:r>
        <w:t>hinner</w:t>
      </w:r>
      <w:r w:rsidRPr="00133F7F">
        <w:t>.”</w:t>
      </w:r>
      <w:r w:rsidRPr="00133F7F">
        <w:rPr>
          <w:b/>
        </w:rPr>
        <w:t xml:space="preserve"> </w:t>
      </w:r>
      <w:r w:rsidRPr="00021B31">
        <w:rPr>
          <w:i/>
        </w:rPr>
        <w:t>Latin American Herald Tribune</w:t>
      </w:r>
      <w:r>
        <w:t>, August 7</w:t>
      </w:r>
      <w:r w:rsidRPr="00133F7F">
        <w:rPr>
          <w:vertAlign w:val="superscript"/>
        </w:rPr>
        <w:t>th</w:t>
      </w:r>
      <w:r>
        <w:t>.</w:t>
      </w:r>
      <w:r w:rsidRPr="00133F7F">
        <w:t xml:space="preserve"> </w:t>
      </w:r>
    </w:p>
    <w:p w:rsidR="00195F10" w:rsidRDefault="00021B31" w:rsidP="00786D2D">
      <w:pPr>
        <w:spacing w:line="480" w:lineRule="auto"/>
      </w:pPr>
      <w:r>
        <w:t>Rodr</w:t>
      </w:r>
      <w:r w:rsidR="00195F10">
        <w:t>í</w:t>
      </w:r>
      <w:r>
        <w:t xml:space="preserve">guez, J. L. (2013). “Fifty </w:t>
      </w:r>
      <w:r w:rsidR="00A14710">
        <w:t>Y</w:t>
      </w:r>
      <w:r>
        <w:t xml:space="preserve">ears of </w:t>
      </w:r>
      <w:r w:rsidR="00A14710">
        <w:t>R</w:t>
      </w:r>
      <w:r>
        <w:t xml:space="preserve">evolution in the Cuban Economy: A Brief Overview,” </w:t>
      </w:r>
      <w:r w:rsidR="00195F10">
        <w:t xml:space="preserve">Ch.1 </w:t>
      </w:r>
      <w:r>
        <w:t xml:space="preserve">in A. </w:t>
      </w:r>
    </w:p>
    <w:p w:rsidR="00021B31" w:rsidRDefault="00021B31" w:rsidP="00195F10">
      <w:pPr>
        <w:spacing w:line="480" w:lineRule="auto"/>
        <w:ind w:left="720"/>
      </w:pPr>
      <w:r>
        <w:t>Campbell (ed.)</w:t>
      </w:r>
      <w:r w:rsidR="00195F10">
        <w:t xml:space="preserve"> </w:t>
      </w:r>
      <w:r w:rsidR="00195F10" w:rsidRPr="00195F10">
        <w:rPr>
          <w:i/>
        </w:rPr>
        <w:t>Cuban Economists on the Cuban Economy</w:t>
      </w:r>
      <w:r w:rsidR="00195F10">
        <w:t>. Gainesville, University of Florida Press.</w:t>
      </w:r>
    </w:p>
    <w:p w:rsidR="00195F10" w:rsidRDefault="00195F10" w:rsidP="00195F10">
      <w:pPr>
        <w:spacing w:line="480" w:lineRule="auto"/>
      </w:pPr>
      <w:r>
        <w:t xml:space="preserve">Shannon, C. (1948). </w:t>
      </w:r>
      <w:r w:rsidRPr="00195F10">
        <w:rPr>
          <w:i/>
        </w:rPr>
        <w:t>The Mathematical Theory of Communication</w:t>
      </w:r>
      <w:r>
        <w:t>. Urbana: University of Illinois Press.</w:t>
      </w:r>
    </w:p>
    <w:p w:rsidR="00195F10" w:rsidRDefault="00195F10" w:rsidP="00195F10">
      <w:pPr>
        <w:spacing w:line="480" w:lineRule="auto"/>
        <w:rPr>
          <w:i/>
        </w:rPr>
      </w:pPr>
      <w:r>
        <w:t>Werlau, M. (2014). “El Puerto de Mariel y la Cooperación</w:t>
      </w:r>
      <w:r w:rsidR="00A14710">
        <w:t xml:space="preserve"> </w:t>
      </w:r>
      <w:r>
        <w:t>Médica Cuba-Brasil,”</w:t>
      </w:r>
      <w:r w:rsidRPr="00195F10">
        <w:rPr>
          <w:i/>
        </w:rPr>
        <w:t xml:space="preserve"> </w:t>
      </w:r>
      <w:r w:rsidRPr="0042241A">
        <w:rPr>
          <w:i/>
        </w:rPr>
        <w:t xml:space="preserve">Cuba in </w:t>
      </w:r>
    </w:p>
    <w:p w:rsidR="00195F10" w:rsidRPr="00133F7F" w:rsidRDefault="00195F10" w:rsidP="00195F10">
      <w:pPr>
        <w:spacing w:line="480" w:lineRule="auto"/>
      </w:pPr>
      <w:r>
        <w:rPr>
          <w:i/>
        </w:rPr>
        <w:tab/>
      </w:r>
      <w:r w:rsidRPr="0042241A">
        <w:rPr>
          <w:i/>
        </w:rPr>
        <w:t>Transition</w:t>
      </w:r>
      <w:r>
        <w:t xml:space="preserve">: -- </w:t>
      </w:r>
      <w:r w:rsidRPr="0042241A">
        <w:rPr>
          <w:i/>
        </w:rPr>
        <w:t>Volume 24</w:t>
      </w:r>
      <w:r>
        <w:rPr>
          <w:i/>
        </w:rPr>
        <w:t>.</w:t>
      </w:r>
      <w:r>
        <w:t xml:space="preserve"> Washington, D.C.: Association for the Study of the Cuban Economy.</w:t>
      </w:r>
    </w:p>
    <w:sectPr w:rsidR="00195F10" w:rsidRPr="00133F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C5B" w:rsidRDefault="00533C5B" w:rsidP="00337ACF">
      <w:pPr>
        <w:spacing w:after="0" w:line="240" w:lineRule="auto"/>
      </w:pPr>
      <w:r>
        <w:separator/>
      </w:r>
    </w:p>
  </w:endnote>
  <w:endnote w:type="continuationSeparator" w:id="0">
    <w:p w:rsidR="00533C5B" w:rsidRDefault="00533C5B" w:rsidP="0033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156197"/>
      <w:docPartObj>
        <w:docPartGallery w:val="Page Numbers (Bottom of Page)"/>
        <w:docPartUnique/>
      </w:docPartObj>
    </w:sdtPr>
    <w:sdtEndPr>
      <w:rPr>
        <w:noProof/>
      </w:rPr>
    </w:sdtEndPr>
    <w:sdtContent>
      <w:p w:rsidR="00533C5B" w:rsidRDefault="00533C5B">
        <w:pPr>
          <w:pStyle w:val="Footer"/>
          <w:jc w:val="right"/>
        </w:pPr>
        <w:r>
          <w:fldChar w:fldCharType="begin"/>
        </w:r>
        <w:r>
          <w:instrText xml:space="preserve"> PAGE   \* MERGEFORMAT </w:instrText>
        </w:r>
        <w:r>
          <w:fldChar w:fldCharType="separate"/>
        </w:r>
        <w:r w:rsidR="00E92C91">
          <w:rPr>
            <w:noProof/>
          </w:rPr>
          <w:t>1</w:t>
        </w:r>
        <w:r>
          <w:rPr>
            <w:noProof/>
          </w:rPr>
          <w:fldChar w:fldCharType="end"/>
        </w:r>
      </w:p>
    </w:sdtContent>
  </w:sdt>
  <w:p w:rsidR="00533C5B" w:rsidRDefault="00533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C5B" w:rsidRDefault="00533C5B" w:rsidP="00337ACF">
      <w:pPr>
        <w:spacing w:after="0" w:line="240" w:lineRule="auto"/>
      </w:pPr>
      <w:r>
        <w:separator/>
      </w:r>
    </w:p>
  </w:footnote>
  <w:footnote w:type="continuationSeparator" w:id="0">
    <w:p w:rsidR="00533C5B" w:rsidRDefault="00533C5B" w:rsidP="00337ACF">
      <w:pPr>
        <w:spacing w:after="0" w:line="240" w:lineRule="auto"/>
      </w:pPr>
      <w:r>
        <w:continuationSeparator/>
      </w:r>
    </w:p>
  </w:footnote>
  <w:footnote w:id="1">
    <w:p w:rsidR="00C61B5F" w:rsidRDefault="00C61B5F">
      <w:pPr>
        <w:pStyle w:val="FootnoteText"/>
      </w:pPr>
      <w:r>
        <w:rPr>
          <w:rStyle w:val="FootnoteReference"/>
        </w:rPr>
        <w:footnoteRef/>
      </w:r>
      <w:r>
        <w:t xml:space="preserve"> A brief account of the evolution of the CUC in the context of a history of recent monetary policy in Cuba is provided by Hernández-Catá (201</w:t>
      </w:r>
      <w:r w:rsidR="00CC1F8A">
        <w:t>4</w:t>
      </w:r>
      <w:r>
        <w:t xml:space="preserve">).  </w:t>
      </w:r>
    </w:p>
  </w:footnote>
  <w:footnote w:id="2">
    <w:p w:rsidR="000B266C" w:rsidRDefault="000B266C">
      <w:pPr>
        <w:pStyle w:val="FootnoteText"/>
      </w:pPr>
      <w:r>
        <w:rPr>
          <w:rStyle w:val="FootnoteReference"/>
        </w:rPr>
        <w:footnoteRef/>
      </w:r>
      <w:r>
        <w:t xml:space="preserve"> I owe this point to a comment by J. Sanguinetty.</w:t>
      </w:r>
    </w:p>
  </w:footnote>
  <w:footnote w:id="3">
    <w:p w:rsidR="0024160A" w:rsidRDefault="0024160A">
      <w:pPr>
        <w:pStyle w:val="FootnoteText"/>
      </w:pPr>
      <w:r>
        <w:rPr>
          <w:rStyle w:val="FootnoteReference"/>
        </w:rPr>
        <w:footnoteRef/>
      </w:r>
      <w:r>
        <w:t xml:space="preserve"> All recent figures on population and sectoral composition of GDP are from the CIA World Factbook.  Earlier ones are from the World Bank’s Development Indicators</w:t>
      </w:r>
    </w:p>
  </w:footnote>
  <w:footnote w:id="4">
    <w:p w:rsidR="006F18DE" w:rsidRDefault="006F18DE">
      <w:pPr>
        <w:pStyle w:val="FootnoteText"/>
      </w:pPr>
      <w:r>
        <w:rPr>
          <w:rStyle w:val="FootnoteReference"/>
        </w:rPr>
        <w:footnoteRef/>
      </w:r>
      <w:r>
        <w:t xml:space="preserve"> An important factor in Chinese growth was the international economy and the role of foreign direct investment, including outsourcing by developed country retailers. </w:t>
      </w:r>
      <w:r w:rsidR="005F09D2">
        <w:t xml:space="preserve">An argument could be made that </w:t>
      </w:r>
      <w:r>
        <w:t xml:space="preserve">the international environment is less propitious under </w:t>
      </w:r>
      <w:r w:rsidR="005F09D2">
        <w:t>current circumstances due to the after-effects of the Great Recession. I ignore the impact of this factor in Chinese growth relative to its potential impact on Cuba’s growth for simplicity.</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5C106D"/>
    <w:multiLevelType w:val="hybridMultilevel"/>
    <w:tmpl w:val="34E0CDE6"/>
    <w:lvl w:ilvl="0" w:tplc="940AED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45"/>
    <w:rsid w:val="00006585"/>
    <w:rsid w:val="00021B31"/>
    <w:rsid w:val="00023007"/>
    <w:rsid w:val="00033874"/>
    <w:rsid w:val="0005591C"/>
    <w:rsid w:val="0005621F"/>
    <w:rsid w:val="00056615"/>
    <w:rsid w:val="00063369"/>
    <w:rsid w:val="0006751E"/>
    <w:rsid w:val="00070DD3"/>
    <w:rsid w:val="0007124A"/>
    <w:rsid w:val="00073899"/>
    <w:rsid w:val="00076977"/>
    <w:rsid w:val="00085BF3"/>
    <w:rsid w:val="00096B6A"/>
    <w:rsid w:val="000A4089"/>
    <w:rsid w:val="000A5989"/>
    <w:rsid w:val="000B266C"/>
    <w:rsid w:val="000B5DA4"/>
    <w:rsid w:val="000C1C91"/>
    <w:rsid w:val="000C7687"/>
    <w:rsid w:val="000E0BAD"/>
    <w:rsid w:val="000E115A"/>
    <w:rsid w:val="000E33D8"/>
    <w:rsid w:val="000F2C38"/>
    <w:rsid w:val="00101A9C"/>
    <w:rsid w:val="0011071C"/>
    <w:rsid w:val="00116D2C"/>
    <w:rsid w:val="00117EF6"/>
    <w:rsid w:val="00121078"/>
    <w:rsid w:val="00133695"/>
    <w:rsid w:val="00133F7F"/>
    <w:rsid w:val="001359AA"/>
    <w:rsid w:val="00146C31"/>
    <w:rsid w:val="00154A95"/>
    <w:rsid w:val="0016697D"/>
    <w:rsid w:val="001845A4"/>
    <w:rsid w:val="0019547D"/>
    <w:rsid w:val="00195F10"/>
    <w:rsid w:val="001C32AF"/>
    <w:rsid w:val="001E0BF6"/>
    <w:rsid w:val="00202072"/>
    <w:rsid w:val="0021047F"/>
    <w:rsid w:val="0022478C"/>
    <w:rsid w:val="0022622D"/>
    <w:rsid w:val="00232FF5"/>
    <w:rsid w:val="0023624A"/>
    <w:rsid w:val="002364B1"/>
    <w:rsid w:val="0024160A"/>
    <w:rsid w:val="00283636"/>
    <w:rsid w:val="00286EFC"/>
    <w:rsid w:val="002A37E9"/>
    <w:rsid w:val="002A5FB8"/>
    <w:rsid w:val="002A60BF"/>
    <w:rsid w:val="002A7E9D"/>
    <w:rsid w:val="002B1C1A"/>
    <w:rsid w:val="002B40F0"/>
    <w:rsid w:val="002C68C9"/>
    <w:rsid w:val="002D2A0F"/>
    <w:rsid w:val="002D7D01"/>
    <w:rsid w:val="00301283"/>
    <w:rsid w:val="00304A4C"/>
    <w:rsid w:val="00314E9D"/>
    <w:rsid w:val="00315399"/>
    <w:rsid w:val="00315AD4"/>
    <w:rsid w:val="00316E0F"/>
    <w:rsid w:val="003177CB"/>
    <w:rsid w:val="003204BC"/>
    <w:rsid w:val="00330C50"/>
    <w:rsid w:val="00337ACF"/>
    <w:rsid w:val="00341F40"/>
    <w:rsid w:val="00350145"/>
    <w:rsid w:val="00354474"/>
    <w:rsid w:val="00357E3B"/>
    <w:rsid w:val="003656D3"/>
    <w:rsid w:val="00383F81"/>
    <w:rsid w:val="003A1D59"/>
    <w:rsid w:val="003A78EB"/>
    <w:rsid w:val="003C1664"/>
    <w:rsid w:val="003C2008"/>
    <w:rsid w:val="003D1E19"/>
    <w:rsid w:val="003D2CB4"/>
    <w:rsid w:val="003D64E8"/>
    <w:rsid w:val="00401FF7"/>
    <w:rsid w:val="00412D36"/>
    <w:rsid w:val="004141A1"/>
    <w:rsid w:val="0042241A"/>
    <w:rsid w:val="00426297"/>
    <w:rsid w:val="004273FD"/>
    <w:rsid w:val="0043094B"/>
    <w:rsid w:val="00433E43"/>
    <w:rsid w:val="0044764C"/>
    <w:rsid w:val="00453022"/>
    <w:rsid w:val="00462B5C"/>
    <w:rsid w:val="004806B4"/>
    <w:rsid w:val="0048623E"/>
    <w:rsid w:val="004A4183"/>
    <w:rsid w:val="004A613E"/>
    <w:rsid w:val="004B5AE0"/>
    <w:rsid w:val="004B6BA6"/>
    <w:rsid w:val="004E3625"/>
    <w:rsid w:val="004E7435"/>
    <w:rsid w:val="005035C9"/>
    <w:rsid w:val="0051656C"/>
    <w:rsid w:val="00517C52"/>
    <w:rsid w:val="005262F2"/>
    <w:rsid w:val="00526C6E"/>
    <w:rsid w:val="005337D3"/>
    <w:rsid w:val="00533C5B"/>
    <w:rsid w:val="00535376"/>
    <w:rsid w:val="00542AFB"/>
    <w:rsid w:val="00552E01"/>
    <w:rsid w:val="00572757"/>
    <w:rsid w:val="00592A12"/>
    <w:rsid w:val="005935CD"/>
    <w:rsid w:val="005A7A97"/>
    <w:rsid w:val="005B006A"/>
    <w:rsid w:val="005B2FA8"/>
    <w:rsid w:val="005B3CB1"/>
    <w:rsid w:val="005C11E3"/>
    <w:rsid w:val="005E6D21"/>
    <w:rsid w:val="005F09D2"/>
    <w:rsid w:val="00606070"/>
    <w:rsid w:val="00610A03"/>
    <w:rsid w:val="006225E8"/>
    <w:rsid w:val="006622BE"/>
    <w:rsid w:val="0066408B"/>
    <w:rsid w:val="00664875"/>
    <w:rsid w:val="00666F37"/>
    <w:rsid w:val="006738E7"/>
    <w:rsid w:val="00676204"/>
    <w:rsid w:val="00681B8A"/>
    <w:rsid w:val="0068213E"/>
    <w:rsid w:val="00683A82"/>
    <w:rsid w:val="006948CC"/>
    <w:rsid w:val="00695DF3"/>
    <w:rsid w:val="006A2384"/>
    <w:rsid w:val="006B4079"/>
    <w:rsid w:val="006E00BE"/>
    <w:rsid w:val="006E60C7"/>
    <w:rsid w:val="006F18DE"/>
    <w:rsid w:val="006F5F83"/>
    <w:rsid w:val="0072094B"/>
    <w:rsid w:val="00724ED1"/>
    <w:rsid w:val="00740B68"/>
    <w:rsid w:val="00746BB9"/>
    <w:rsid w:val="007520EE"/>
    <w:rsid w:val="007555D1"/>
    <w:rsid w:val="007633CE"/>
    <w:rsid w:val="00770A7E"/>
    <w:rsid w:val="007729C4"/>
    <w:rsid w:val="007742D9"/>
    <w:rsid w:val="0077456F"/>
    <w:rsid w:val="0078544F"/>
    <w:rsid w:val="007863A3"/>
    <w:rsid w:val="00786D2D"/>
    <w:rsid w:val="00794A6A"/>
    <w:rsid w:val="007979AC"/>
    <w:rsid w:val="007B4792"/>
    <w:rsid w:val="007D78A2"/>
    <w:rsid w:val="007E0DA2"/>
    <w:rsid w:val="00813B8D"/>
    <w:rsid w:val="00830401"/>
    <w:rsid w:val="00832796"/>
    <w:rsid w:val="0083378C"/>
    <w:rsid w:val="00840C68"/>
    <w:rsid w:val="00864A64"/>
    <w:rsid w:val="008827B9"/>
    <w:rsid w:val="00891702"/>
    <w:rsid w:val="00892817"/>
    <w:rsid w:val="008948BB"/>
    <w:rsid w:val="008B2381"/>
    <w:rsid w:val="008B4FA3"/>
    <w:rsid w:val="008B7EC5"/>
    <w:rsid w:val="008C2E33"/>
    <w:rsid w:val="008C3F7C"/>
    <w:rsid w:val="008E3085"/>
    <w:rsid w:val="008E6A99"/>
    <w:rsid w:val="008F0883"/>
    <w:rsid w:val="00914DB8"/>
    <w:rsid w:val="00915067"/>
    <w:rsid w:val="00915F94"/>
    <w:rsid w:val="00936E11"/>
    <w:rsid w:val="00941983"/>
    <w:rsid w:val="009471AD"/>
    <w:rsid w:val="009537BB"/>
    <w:rsid w:val="009541D3"/>
    <w:rsid w:val="00960B5C"/>
    <w:rsid w:val="0097078C"/>
    <w:rsid w:val="00980AB4"/>
    <w:rsid w:val="009900E8"/>
    <w:rsid w:val="009A0BCF"/>
    <w:rsid w:val="009C2722"/>
    <w:rsid w:val="009C59FC"/>
    <w:rsid w:val="009D2527"/>
    <w:rsid w:val="009F1A47"/>
    <w:rsid w:val="00A14710"/>
    <w:rsid w:val="00A27DEC"/>
    <w:rsid w:val="00A355BA"/>
    <w:rsid w:val="00A63473"/>
    <w:rsid w:val="00A66273"/>
    <w:rsid w:val="00A731F0"/>
    <w:rsid w:val="00A9087A"/>
    <w:rsid w:val="00A95E97"/>
    <w:rsid w:val="00AD01AC"/>
    <w:rsid w:val="00AD1A0A"/>
    <w:rsid w:val="00AD2922"/>
    <w:rsid w:val="00AD2A09"/>
    <w:rsid w:val="00AD2F52"/>
    <w:rsid w:val="00AD434C"/>
    <w:rsid w:val="00AD7F4C"/>
    <w:rsid w:val="00AE1662"/>
    <w:rsid w:val="00AF6836"/>
    <w:rsid w:val="00B101BF"/>
    <w:rsid w:val="00B15EB0"/>
    <w:rsid w:val="00B17057"/>
    <w:rsid w:val="00B21472"/>
    <w:rsid w:val="00B24F06"/>
    <w:rsid w:val="00B252B7"/>
    <w:rsid w:val="00B33E99"/>
    <w:rsid w:val="00B36805"/>
    <w:rsid w:val="00B45FD9"/>
    <w:rsid w:val="00B4673B"/>
    <w:rsid w:val="00B5218E"/>
    <w:rsid w:val="00B6109E"/>
    <w:rsid w:val="00B61DA0"/>
    <w:rsid w:val="00B760EB"/>
    <w:rsid w:val="00B77C89"/>
    <w:rsid w:val="00B83EC9"/>
    <w:rsid w:val="00B9011B"/>
    <w:rsid w:val="00B91B05"/>
    <w:rsid w:val="00B91E45"/>
    <w:rsid w:val="00B9380D"/>
    <w:rsid w:val="00BA3DEC"/>
    <w:rsid w:val="00BA4247"/>
    <w:rsid w:val="00BC6A49"/>
    <w:rsid w:val="00BD3B13"/>
    <w:rsid w:val="00BE3098"/>
    <w:rsid w:val="00BF67D3"/>
    <w:rsid w:val="00BF6C7C"/>
    <w:rsid w:val="00BF773D"/>
    <w:rsid w:val="00C25234"/>
    <w:rsid w:val="00C51F4A"/>
    <w:rsid w:val="00C53DBF"/>
    <w:rsid w:val="00C56E86"/>
    <w:rsid w:val="00C6057A"/>
    <w:rsid w:val="00C608D5"/>
    <w:rsid w:val="00C61B5F"/>
    <w:rsid w:val="00C6241C"/>
    <w:rsid w:val="00C63A71"/>
    <w:rsid w:val="00C66741"/>
    <w:rsid w:val="00C70028"/>
    <w:rsid w:val="00C72037"/>
    <w:rsid w:val="00C75000"/>
    <w:rsid w:val="00C771D1"/>
    <w:rsid w:val="00C80B47"/>
    <w:rsid w:val="00C95D17"/>
    <w:rsid w:val="00CB13F1"/>
    <w:rsid w:val="00CC1F8A"/>
    <w:rsid w:val="00CC4E07"/>
    <w:rsid w:val="00CC7E89"/>
    <w:rsid w:val="00CD4C28"/>
    <w:rsid w:val="00CF10B4"/>
    <w:rsid w:val="00CF3079"/>
    <w:rsid w:val="00CF476B"/>
    <w:rsid w:val="00D20F2C"/>
    <w:rsid w:val="00D328E9"/>
    <w:rsid w:val="00D344CE"/>
    <w:rsid w:val="00D3471D"/>
    <w:rsid w:val="00D52508"/>
    <w:rsid w:val="00D625B0"/>
    <w:rsid w:val="00D91B48"/>
    <w:rsid w:val="00DA284D"/>
    <w:rsid w:val="00DA5D93"/>
    <w:rsid w:val="00DD3CA0"/>
    <w:rsid w:val="00DD537B"/>
    <w:rsid w:val="00DF55BC"/>
    <w:rsid w:val="00E02C13"/>
    <w:rsid w:val="00E1280D"/>
    <w:rsid w:val="00E235E8"/>
    <w:rsid w:val="00E24300"/>
    <w:rsid w:val="00E25132"/>
    <w:rsid w:val="00E3099C"/>
    <w:rsid w:val="00E3412A"/>
    <w:rsid w:val="00E36ED5"/>
    <w:rsid w:val="00E4251C"/>
    <w:rsid w:val="00E429A6"/>
    <w:rsid w:val="00E652C4"/>
    <w:rsid w:val="00E67B8D"/>
    <w:rsid w:val="00E70215"/>
    <w:rsid w:val="00E8713B"/>
    <w:rsid w:val="00E92C91"/>
    <w:rsid w:val="00EA6132"/>
    <w:rsid w:val="00EA77B5"/>
    <w:rsid w:val="00EB0226"/>
    <w:rsid w:val="00EB32E5"/>
    <w:rsid w:val="00EB59E2"/>
    <w:rsid w:val="00EB62B7"/>
    <w:rsid w:val="00EC2928"/>
    <w:rsid w:val="00ED0B8C"/>
    <w:rsid w:val="00ED0DC8"/>
    <w:rsid w:val="00EE045C"/>
    <w:rsid w:val="00EE232C"/>
    <w:rsid w:val="00EE4E97"/>
    <w:rsid w:val="00EE7596"/>
    <w:rsid w:val="00F123C9"/>
    <w:rsid w:val="00F17289"/>
    <w:rsid w:val="00F20D86"/>
    <w:rsid w:val="00F2631E"/>
    <w:rsid w:val="00F27896"/>
    <w:rsid w:val="00F33F50"/>
    <w:rsid w:val="00F37426"/>
    <w:rsid w:val="00F377A1"/>
    <w:rsid w:val="00F50385"/>
    <w:rsid w:val="00F701B5"/>
    <w:rsid w:val="00F75E20"/>
    <w:rsid w:val="00F85105"/>
    <w:rsid w:val="00F85372"/>
    <w:rsid w:val="00FB5175"/>
    <w:rsid w:val="00FB62E1"/>
    <w:rsid w:val="00FC3B85"/>
    <w:rsid w:val="00FD520B"/>
    <w:rsid w:val="00FD639E"/>
    <w:rsid w:val="00FE5B9D"/>
    <w:rsid w:val="00FE5CD4"/>
    <w:rsid w:val="00FF1445"/>
    <w:rsid w:val="00FF146E"/>
    <w:rsid w:val="00FF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AB841-C48B-44A8-9F67-531A891B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CA0"/>
    <w:pPr>
      <w:ind w:left="720"/>
      <w:contextualSpacing/>
    </w:pPr>
  </w:style>
  <w:style w:type="paragraph" w:styleId="BalloonText">
    <w:name w:val="Balloon Text"/>
    <w:basedOn w:val="Normal"/>
    <w:link w:val="BalloonTextChar"/>
    <w:uiPriority w:val="99"/>
    <w:semiHidden/>
    <w:unhideWhenUsed/>
    <w:rsid w:val="00414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1A1"/>
    <w:rPr>
      <w:rFonts w:ascii="Segoe UI" w:hAnsi="Segoe UI" w:cs="Segoe UI"/>
      <w:sz w:val="18"/>
      <w:szCs w:val="18"/>
    </w:rPr>
  </w:style>
  <w:style w:type="paragraph" w:styleId="Header">
    <w:name w:val="header"/>
    <w:basedOn w:val="Normal"/>
    <w:link w:val="HeaderChar"/>
    <w:uiPriority w:val="99"/>
    <w:unhideWhenUsed/>
    <w:rsid w:val="00337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ACF"/>
  </w:style>
  <w:style w:type="paragraph" w:styleId="Footer">
    <w:name w:val="footer"/>
    <w:basedOn w:val="Normal"/>
    <w:link w:val="FooterChar"/>
    <w:uiPriority w:val="99"/>
    <w:unhideWhenUsed/>
    <w:rsid w:val="00337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ACF"/>
  </w:style>
  <w:style w:type="paragraph" w:styleId="NormalWeb">
    <w:name w:val="Normal (Web)"/>
    <w:basedOn w:val="Normal"/>
    <w:uiPriority w:val="99"/>
    <w:semiHidden/>
    <w:unhideWhenUsed/>
    <w:rsid w:val="00FF6E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7EC5"/>
    <w:rPr>
      <w:color w:val="0563C1" w:themeColor="hyperlink"/>
      <w:u w:val="single"/>
    </w:rPr>
  </w:style>
  <w:style w:type="paragraph" w:styleId="FootnoteText">
    <w:name w:val="footnote text"/>
    <w:basedOn w:val="Normal"/>
    <w:link w:val="FootnoteTextChar"/>
    <w:uiPriority w:val="99"/>
    <w:semiHidden/>
    <w:unhideWhenUsed/>
    <w:rsid w:val="000B26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66C"/>
    <w:rPr>
      <w:sz w:val="20"/>
      <w:szCs w:val="20"/>
    </w:rPr>
  </w:style>
  <w:style w:type="character" w:styleId="FootnoteReference">
    <w:name w:val="footnote reference"/>
    <w:basedOn w:val="DefaultParagraphFont"/>
    <w:uiPriority w:val="99"/>
    <w:semiHidden/>
    <w:unhideWhenUsed/>
    <w:rsid w:val="000B266C"/>
    <w:rPr>
      <w:vertAlign w:val="superscript"/>
    </w:rPr>
  </w:style>
  <w:style w:type="character" w:styleId="FollowedHyperlink">
    <w:name w:val="FollowedHyperlink"/>
    <w:basedOn w:val="DefaultParagraphFont"/>
    <w:uiPriority w:val="99"/>
    <w:semiHidden/>
    <w:unhideWhenUsed/>
    <w:rsid w:val="003544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58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vresearchcenter.org/2013/11/25/evolution-of-democracy-in-selected-developing-countries-by-roger-r-betancou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7BBA2-07D2-4D71-9D66-EE8B15A3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6985</Words>
  <Characters>39821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Betancourt, Roger</dc:creator>
  <cp:keywords/>
  <dc:description/>
  <cp:lastModifiedBy>Betancourt, Roger</cp:lastModifiedBy>
  <cp:revision>2</cp:revision>
  <cp:lastPrinted>2014-08-14T22:01:00Z</cp:lastPrinted>
  <dcterms:created xsi:type="dcterms:W3CDTF">2014-09-24T15:56:00Z</dcterms:created>
  <dcterms:modified xsi:type="dcterms:W3CDTF">2014-09-24T15:56:00Z</dcterms:modified>
</cp:coreProperties>
</file>